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20B4A570"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E01972">
        <w:rPr>
          <w:rFonts w:eastAsia="MS Mincho" w:cs="Arial"/>
          <w:kern w:val="0"/>
          <w:sz w:val="24"/>
          <w:lang w:val="en-US" w:eastAsia="en-US"/>
        </w:rPr>
        <w:t>WG1 #83</w:t>
      </w:r>
      <w:r w:rsidR="007A4343">
        <w:rPr>
          <w:rFonts w:eastAsia="MS Mincho" w:cs="Arial"/>
          <w:kern w:val="0"/>
          <w:sz w:val="24"/>
          <w:lang w:val="en-US" w:eastAsia="en-US"/>
        </w:rPr>
        <w:tab/>
      </w:r>
      <w:r w:rsidR="007A4343" w:rsidRPr="00BE7157">
        <w:rPr>
          <w:rFonts w:eastAsia="MS Mincho" w:cs="Arial"/>
          <w:kern w:val="0"/>
          <w:sz w:val="24"/>
          <w:lang w:val="en-US" w:eastAsia="en-US"/>
        </w:rPr>
        <w:t>R1</w:t>
      </w:r>
      <w:r w:rsidRPr="00BE7157">
        <w:rPr>
          <w:rFonts w:eastAsia="MS Mincho" w:cs="Arial"/>
          <w:kern w:val="0"/>
          <w:sz w:val="24"/>
          <w:lang w:val="en-US" w:eastAsia="en-US"/>
        </w:rPr>
        <w:t>-</w:t>
      </w:r>
      <w:r w:rsidR="006B778C" w:rsidRPr="00BE7157">
        <w:rPr>
          <w:rFonts w:eastAsia="MS Mincho" w:cs="Arial"/>
          <w:kern w:val="0"/>
          <w:sz w:val="24"/>
          <w:lang w:val="en-US" w:eastAsia="en-US"/>
        </w:rPr>
        <w:t>15</w:t>
      </w:r>
      <w:r w:rsidR="00BE7157" w:rsidRPr="00BE7157">
        <w:rPr>
          <w:rFonts w:eastAsia="MS Mincho" w:cs="Arial"/>
          <w:kern w:val="0"/>
          <w:sz w:val="24"/>
          <w:lang w:val="en-US" w:eastAsia="en-US"/>
        </w:rPr>
        <w:t>7420</w:t>
      </w:r>
    </w:p>
    <w:p w14:paraId="51C05F98" w14:textId="78D82B0F"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00BD21BC" w:rsidRPr="00FE1F13">
        <w:rPr>
          <w:rFonts w:eastAsia="MS Mincho" w:cs="Arial"/>
          <w:kern w:val="0"/>
          <w:sz w:val="24"/>
          <w:lang w:val="en-US" w:eastAsia="en-US"/>
        </w:rPr>
        <w:t xml:space="preserve">th </w:t>
      </w:r>
      <w:r>
        <w:rPr>
          <w:rFonts w:eastAsia="MS Mincho" w:cs="Arial"/>
          <w:kern w:val="0"/>
          <w:sz w:val="24"/>
          <w:lang w:val="en-US" w:eastAsia="en-US"/>
        </w:rPr>
        <w:t>November</w:t>
      </w:r>
      <w:r w:rsidR="00BD21BC" w:rsidRPr="00FE1F13">
        <w:rPr>
          <w:rFonts w:eastAsia="MS Mincho" w:cs="Arial"/>
          <w:kern w:val="0"/>
          <w:sz w:val="24"/>
          <w:lang w:val="en-US" w:eastAsia="en-US"/>
        </w:rPr>
        <w:t xml:space="preserve"> 2015</w:t>
      </w:r>
    </w:p>
    <w:p w14:paraId="5C202661" w14:textId="7F892950"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00BD21BC"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300F8827"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t>Ericsson</w:t>
      </w:r>
    </w:p>
    <w:p w14:paraId="44EF3611" w14:textId="2F737CBC" w:rsidR="00E21B75" w:rsidRPr="00E21B75" w:rsidRDefault="004B486D" w:rsidP="00E019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E01972">
        <w:rPr>
          <w:rFonts w:cs="Arial"/>
          <w:b/>
          <w:sz w:val="24"/>
          <w:lang w:val="en-US"/>
        </w:rPr>
        <w:tab/>
      </w:r>
      <w:bookmarkStart w:id="0" w:name="OLE_LINK1"/>
      <w:r w:rsidR="006D5248">
        <w:rPr>
          <w:rFonts w:cs="Arial"/>
          <w:b/>
          <w:sz w:val="24"/>
          <w:lang w:val="en-US"/>
        </w:rPr>
        <w:t>NB-</w:t>
      </w:r>
      <w:proofErr w:type="spellStart"/>
      <w:r w:rsidR="006D5248">
        <w:rPr>
          <w:rFonts w:cs="Arial"/>
          <w:b/>
          <w:sz w:val="24"/>
          <w:lang w:val="en-US"/>
        </w:rPr>
        <w:t>IoT</w:t>
      </w:r>
      <w:proofErr w:type="spellEnd"/>
      <w:r w:rsidR="006D5248">
        <w:rPr>
          <w:rFonts w:cs="Arial"/>
          <w:b/>
          <w:sz w:val="24"/>
          <w:lang w:val="en-US"/>
        </w:rPr>
        <w:t xml:space="preserve"> - </w:t>
      </w:r>
      <w:r w:rsidR="00E01972" w:rsidRPr="00E01972">
        <w:rPr>
          <w:rFonts w:cs="Arial"/>
          <w:b/>
          <w:sz w:val="24"/>
          <w:lang w:val="en-US"/>
        </w:rPr>
        <w:t>1</w:t>
      </w:r>
      <w:r w:rsidR="00E01972">
        <w:rPr>
          <w:rFonts w:cs="Arial"/>
          <w:b/>
          <w:sz w:val="24"/>
          <w:lang w:val="en-US"/>
        </w:rPr>
        <w:t>5 kHz subcarrier spacing for NB-</w:t>
      </w:r>
      <w:proofErr w:type="spellStart"/>
      <w:r w:rsidR="00E01972" w:rsidRPr="00E01972">
        <w:rPr>
          <w:rFonts w:cs="Arial"/>
          <w:b/>
          <w:sz w:val="24"/>
          <w:lang w:val="en-US"/>
        </w:rPr>
        <w:t>IoT</w:t>
      </w:r>
      <w:proofErr w:type="spellEnd"/>
      <w:r w:rsidR="00E01972" w:rsidRPr="00E01972">
        <w:rPr>
          <w:rFonts w:cs="Arial"/>
          <w:b/>
          <w:sz w:val="24"/>
          <w:lang w:val="en-US"/>
        </w:rPr>
        <w:t xml:space="preserve"> uplink</w:t>
      </w:r>
      <w:r w:rsidR="00DA213C">
        <w:rPr>
          <w:rFonts w:cs="Arial"/>
          <w:b/>
          <w:sz w:val="24"/>
          <w:lang w:val="en-US"/>
        </w:rPr>
        <w:t xml:space="preserve"> shared channel</w:t>
      </w:r>
      <w:bookmarkEnd w:id="0"/>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09CACAAE"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BE7157">
        <w:rPr>
          <w:rFonts w:cs="Arial"/>
          <w:b/>
          <w:sz w:val="24"/>
          <w:lang w:val="en-US"/>
        </w:rPr>
        <w:t>6.2.6.2.3</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1" w:name="_Ref409106980"/>
      <w:r w:rsidRPr="00FE1F13">
        <w:rPr>
          <w:lang w:val="en-US"/>
        </w:rPr>
        <w:t>Introduction</w:t>
      </w:r>
      <w:bookmarkEnd w:id="1"/>
    </w:p>
    <w:p w14:paraId="51995D7A" w14:textId="58EA1FB4"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9B56AF">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77777777" w:rsidR="004B486D" w:rsidRPr="004B486D" w:rsidRDefault="004B486D" w:rsidP="004B486D">
      <w:pPr>
        <w:pStyle w:val="BodyText"/>
        <w:rPr>
          <w:lang w:val="en-US"/>
        </w:rPr>
      </w:pPr>
      <w:r w:rsidRPr="004B486D">
        <w:rPr>
          <w:lang w:val="en-US"/>
        </w:rPr>
        <w:t xml:space="preserve">NB-IOT should support 3 different modes of operation: </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Default="005C2F5A" w:rsidP="004B486D">
      <w:pPr>
        <w:pStyle w:val="BodyText"/>
        <w:rPr>
          <w:lang w:val="en-US"/>
        </w:rPr>
      </w:pPr>
      <w:r>
        <w:rPr>
          <w:lang w:val="en-US"/>
        </w:rPr>
        <w:t>3.</w:t>
      </w:r>
      <w:r>
        <w:rPr>
          <w:lang w:val="en-US"/>
        </w:rPr>
        <w:tab/>
        <w:t>“In-band operation”</w:t>
      </w:r>
      <w:r w:rsidR="004B486D" w:rsidRPr="004B486D">
        <w:rPr>
          <w:lang w:val="en-US"/>
        </w:rPr>
        <w:t xml:space="preserve"> utilizing resource blocks within a normal LTE carrier</w:t>
      </w:r>
    </w:p>
    <w:p w14:paraId="7DFBD74F" w14:textId="386B2566" w:rsidR="00C05479" w:rsidRDefault="00353B36" w:rsidP="004B486D">
      <w:pPr>
        <w:pStyle w:val="BodyText"/>
        <w:rPr>
          <w:lang w:val="en-US"/>
        </w:rPr>
      </w:pPr>
      <w:r>
        <w:rPr>
          <w:lang w:val="en-US"/>
        </w:rPr>
        <w:t>NB-</w:t>
      </w:r>
      <w:proofErr w:type="spellStart"/>
      <w:r>
        <w:rPr>
          <w:lang w:val="en-US"/>
        </w:rPr>
        <w:t>IoT</w:t>
      </w:r>
      <w:proofErr w:type="spellEnd"/>
      <w:r>
        <w:rPr>
          <w:lang w:val="en-US"/>
        </w:rPr>
        <w:t xml:space="preserve"> currently includes </w:t>
      </w:r>
      <w:r w:rsidRPr="00353B36">
        <w:rPr>
          <w:lang w:val="en-US"/>
        </w:rPr>
        <w:t xml:space="preserve">two options </w:t>
      </w:r>
      <w:r>
        <w:rPr>
          <w:lang w:val="en-US"/>
        </w:rPr>
        <w:t>under consideration,</w:t>
      </w:r>
      <w:r w:rsidRPr="00353B36">
        <w:rPr>
          <w:lang w:val="en-US"/>
        </w:rPr>
        <w:t xml:space="preserve"> </w:t>
      </w:r>
      <w:r>
        <w:rPr>
          <w:lang w:val="en-US"/>
        </w:rPr>
        <w:t>SC-</w:t>
      </w:r>
      <w:r w:rsidRPr="00353B36">
        <w:rPr>
          <w:lang w:val="en-US"/>
        </w:rPr>
        <w:t>FDMA</w:t>
      </w:r>
      <w:r>
        <w:rPr>
          <w:lang w:val="en-US"/>
        </w:rPr>
        <w:t xml:space="preserve"> and</w:t>
      </w:r>
      <w:r w:rsidRPr="00353B36">
        <w:rPr>
          <w:lang w:val="en-US"/>
        </w:rPr>
        <w:t xml:space="preserve"> </w:t>
      </w:r>
      <w:r>
        <w:rPr>
          <w:lang w:val="en-US"/>
        </w:rPr>
        <w:t>FDMA with GMSK modulation. In [</w:t>
      </w:r>
      <w:r w:rsidR="00C05479">
        <w:rPr>
          <w:lang w:val="en-US"/>
        </w:rPr>
        <w:t>2</w:t>
      </w:r>
      <w:r>
        <w:rPr>
          <w:lang w:val="en-US"/>
        </w:rPr>
        <w:t xml:space="preserve">], an uplink design based on SC-FDMA with 2.5 kHz subcarrier spacing </w:t>
      </w:r>
      <w:r w:rsidR="00C05479">
        <w:rPr>
          <w:lang w:val="en-US"/>
        </w:rPr>
        <w:t xml:space="preserve">for M-PUSCH </w:t>
      </w:r>
      <w:r>
        <w:rPr>
          <w:lang w:val="en-US"/>
        </w:rPr>
        <w:t>is described. The rationale behind using 2.5 kHz subcarrier spacing was to accommodate potentially large timing advance (TA) errors for UE</w:t>
      </w:r>
      <w:r w:rsidR="00D55E41">
        <w:rPr>
          <w:lang w:val="en-US"/>
        </w:rPr>
        <w:t xml:space="preserve"> in extremely coverage limited locations. For these UEs, it is desirable to employ waveforms with low peak-to-average-power ratios (PAPR)</w:t>
      </w:r>
      <w:r w:rsidR="00C05479">
        <w:rPr>
          <w:lang w:val="en-US"/>
        </w:rPr>
        <w:t xml:space="preserve"> for both M-PRACH and M-PUSCH. </w:t>
      </w:r>
      <w:r w:rsidR="004700B0">
        <w:rPr>
          <w:lang w:val="en-US"/>
        </w:rPr>
        <w:t>However a</w:t>
      </w:r>
      <w:r w:rsidR="00C05479">
        <w:rPr>
          <w:lang w:val="en-US"/>
        </w:rPr>
        <w:t xml:space="preserve">s shown in [3], using M-PRACH with a constant-envelope waveform as described as M-PRACH </w:t>
      </w:r>
      <w:r w:rsidR="005C2BBB">
        <w:rPr>
          <w:lang w:val="en-US"/>
        </w:rPr>
        <w:t>F</w:t>
      </w:r>
      <w:r w:rsidR="00C05479">
        <w:rPr>
          <w:lang w:val="en-US"/>
        </w:rPr>
        <w:t xml:space="preserve">ormat 2 in [3] may result in a TA error that is much large than the normal cyclic prefix (CP) of 15 kHz subcarrier. </w:t>
      </w:r>
      <w:proofErr w:type="gramStart"/>
      <w:r w:rsidR="00C05479">
        <w:rPr>
          <w:lang w:val="en-US"/>
        </w:rPr>
        <w:t>Reducing the subcarrier spacing from 15 kHz to 2.5 kHz scales up t</w:t>
      </w:r>
      <w:r w:rsidR="007F44D3">
        <w:rPr>
          <w:lang w:val="en-US"/>
        </w:rPr>
        <w:t>he CP duration by a factor of 6.</w:t>
      </w:r>
      <w:proofErr w:type="gramEnd"/>
      <w:r w:rsidR="007F44D3">
        <w:rPr>
          <w:lang w:val="en-US"/>
        </w:rPr>
        <w:t xml:space="preserve"> This</w:t>
      </w:r>
      <w:r w:rsidR="00C05479">
        <w:rPr>
          <w:lang w:val="en-US"/>
        </w:rPr>
        <w:t xml:space="preserve"> accommodate</w:t>
      </w:r>
      <w:r w:rsidR="001351C2">
        <w:rPr>
          <w:lang w:val="en-US"/>
        </w:rPr>
        <w:t>s</w:t>
      </w:r>
      <w:r w:rsidR="00C05479">
        <w:rPr>
          <w:lang w:val="en-US"/>
        </w:rPr>
        <w:t xml:space="preserve"> the worst po</w:t>
      </w:r>
      <w:r w:rsidR="005C2BBB">
        <w:rPr>
          <w:lang w:val="en-US"/>
        </w:rPr>
        <w:t>ssible TA error when a UE uses F</w:t>
      </w:r>
      <w:r w:rsidR="00C05479">
        <w:rPr>
          <w:lang w:val="en-US"/>
        </w:rPr>
        <w:t>ormat 2 for M-PRACH.</w:t>
      </w:r>
    </w:p>
    <w:p w14:paraId="3782D8F0" w14:textId="010415CD" w:rsidR="00CB7364" w:rsidRPr="00D92256" w:rsidRDefault="00C05479" w:rsidP="00D92256">
      <w:pPr>
        <w:pStyle w:val="BodyText"/>
        <w:rPr>
          <w:lang w:val="en-US"/>
        </w:rPr>
      </w:pPr>
      <w:r>
        <w:rPr>
          <w:lang w:val="en-US"/>
        </w:rPr>
        <w:t xml:space="preserve">In this contribution, we </w:t>
      </w:r>
      <w:r w:rsidR="000661F7">
        <w:rPr>
          <w:lang w:val="en-US"/>
        </w:rPr>
        <w:t>describe a SC-FDMA design based on 15 kHz subcarrier spacing</w:t>
      </w:r>
      <w:r w:rsidR="000B3D9B">
        <w:rPr>
          <w:lang w:val="en-US"/>
        </w:rPr>
        <w:t xml:space="preserve">. </w:t>
      </w:r>
      <w:r w:rsidR="000661F7">
        <w:rPr>
          <w:lang w:val="en-US"/>
        </w:rPr>
        <w:t xml:space="preserve">A special </w:t>
      </w:r>
      <w:r w:rsidR="002E7EAE">
        <w:rPr>
          <w:lang w:val="en-US"/>
        </w:rPr>
        <w:t xml:space="preserve">M-PUSCH symbol </w:t>
      </w:r>
      <w:r w:rsidR="000661F7">
        <w:rPr>
          <w:lang w:val="en-US"/>
        </w:rPr>
        <w:t>repetition pattern</w:t>
      </w:r>
      <w:r w:rsidR="002E7EAE">
        <w:rPr>
          <w:lang w:val="en-US"/>
        </w:rPr>
        <w:t xml:space="preserve"> is used to mitigate performance degradation due to a large TA error. The performance of M-PUSCH based on 15 kHz subcarrier spacing is analyzed in [4].</w:t>
      </w:r>
      <w:bookmarkStart w:id="2" w:name="_Ref426290311"/>
    </w:p>
    <w:p w14:paraId="219286F4" w14:textId="56CF614C" w:rsidR="00120E41" w:rsidRPr="00FE1F13" w:rsidRDefault="00120E41" w:rsidP="00837207">
      <w:pPr>
        <w:pStyle w:val="Heading1"/>
        <w:rPr>
          <w:lang w:val="en-US"/>
        </w:rPr>
      </w:pPr>
      <w:r w:rsidRPr="00FE1F13">
        <w:rPr>
          <w:lang w:val="en-US"/>
        </w:rPr>
        <w:t>Uplink shared channels</w:t>
      </w:r>
      <w:r w:rsidR="007605FF">
        <w:rPr>
          <w:lang w:val="en-US"/>
        </w:rPr>
        <w:t xml:space="preserve"> (M-PUSCH)</w:t>
      </w:r>
    </w:p>
    <w:p w14:paraId="24EBFE9F" w14:textId="366CF48C" w:rsidR="00837207" w:rsidRDefault="00837207" w:rsidP="00120E41">
      <w:pPr>
        <w:pStyle w:val="BodyText"/>
        <w:rPr>
          <w:lang w:val="en-US"/>
        </w:rPr>
      </w:pPr>
      <w:r>
        <w:rPr>
          <w:lang w:val="en-US"/>
        </w:rPr>
        <w:t xml:space="preserve">We describe M-PUSCH based on SC-FDMA with 15 kHz subcarrier spacing. Two M-PUSCH formats are used. Format 1 is the same as LTE uplink, except for the number of subcarriers allocated to a UE is not necessarily an integer multiple of 12. For example, it can be less than 12. Format 2 has exactly the same slot and </w:t>
      </w:r>
      <w:proofErr w:type="spellStart"/>
      <w:r>
        <w:rPr>
          <w:lang w:val="en-US"/>
        </w:rPr>
        <w:t>subframe</w:t>
      </w:r>
      <w:proofErr w:type="spellEnd"/>
      <w:r>
        <w:rPr>
          <w:lang w:val="en-US"/>
        </w:rPr>
        <w:t xml:space="preserve"> durations and </w:t>
      </w:r>
      <w:r w:rsidR="007F44D3">
        <w:rPr>
          <w:lang w:val="en-US"/>
        </w:rPr>
        <w:t>slot format</w:t>
      </w:r>
      <w:r>
        <w:rPr>
          <w:lang w:val="en-US"/>
        </w:rPr>
        <w:t xml:space="preserve"> as LTE. However, it only uses one single subcarrier and has a special repetition pattern.</w:t>
      </w:r>
    </w:p>
    <w:p w14:paraId="229EF080" w14:textId="35696B59" w:rsidR="00837207" w:rsidRDefault="00837207" w:rsidP="00837207">
      <w:pPr>
        <w:pStyle w:val="Heading2"/>
        <w:rPr>
          <w:lang w:val="en-US"/>
        </w:rPr>
      </w:pPr>
      <w:r>
        <w:rPr>
          <w:lang w:val="en-US"/>
        </w:rPr>
        <w:t>M-PUSCH Format 1</w:t>
      </w:r>
    </w:p>
    <w:p w14:paraId="65734840" w14:textId="6026BB26" w:rsidR="00E40203" w:rsidRDefault="00E40203" w:rsidP="00E40203">
      <w:pPr>
        <w:rPr>
          <w:lang w:val="en-US"/>
        </w:rPr>
      </w:pPr>
      <w:r>
        <w:rPr>
          <w:lang w:val="en-US"/>
        </w:rPr>
        <w:t xml:space="preserve">M-PUSCH Format 1 is exactly the same as LTE uplink. It has the same subcarrier spacing, slot and </w:t>
      </w:r>
      <w:proofErr w:type="spellStart"/>
      <w:r>
        <w:rPr>
          <w:lang w:val="en-US"/>
        </w:rPr>
        <w:t>subframe</w:t>
      </w:r>
      <w:proofErr w:type="spellEnd"/>
      <w:r>
        <w:rPr>
          <w:lang w:val="en-US"/>
        </w:rPr>
        <w:t xml:space="preserve"> durations and slot format as LTE uplink. M-PUSCH Format 1 is used for all the UEs who use M-PRACH Format </w:t>
      </w:r>
      <w:r w:rsidR="008A5B6E">
        <w:rPr>
          <w:lang w:val="en-US"/>
        </w:rPr>
        <w:t>0 and 1</w:t>
      </w:r>
      <w:r>
        <w:rPr>
          <w:lang w:val="en-US"/>
        </w:rPr>
        <w:t xml:space="preserve"> to </w:t>
      </w:r>
      <w:r w:rsidR="00485AA3">
        <w:rPr>
          <w:lang w:val="en-US"/>
        </w:rPr>
        <w:t>initiate random access.</w:t>
      </w:r>
      <w:r w:rsidR="0028474C">
        <w:rPr>
          <w:lang w:val="en-US"/>
        </w:rPr>
        <w:t xml:space="preserve"> M-PUSCH Format 1 can use either multiple subcarriers or single subcarrier. </w:t>
      </w:r>
    </w:p>
    <w:p w14:paraId="7AD9E2D2" w14:textId="27C1793A" w:rsidR="00E40203" w:rsidRPr="00E40203" w:rsidRDefault="00E40203" w:rsidP="00E40203">
      <w:pPr>
        <w:jc w:val="center"/>
        <w:rPr>
          <w:lang w:val="en-US"/>
        </w:rPr>
      </w:pPr>
      <w:r w:rsidRPr="00E40203">
        <w:rPr>
          <w:noProof/>
          <w:lang w:val="en-US" w:eastAsia="zh-TW"/>
        </w:rPr>
        <w:lastRenderedPageBreak/>
        <w:drawing>
          <wp:inline distT="0" distB="0" distL="0" distR="0" wp14:anchorId="6B024839" wp14:editId="59A93FB2">
            <wp:extent cx="3445460" cy="2319171"/>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5255" cy="2319033"/>
                    </a:xfrm>
                    <a:prstGeom prst="rect">
                      <a:avLst/>
                    </a:prstGeom>
                    <a:noFill/>
                    <a:ln>
                      <a:noFill/>
                    </a:ln>
                  </pic:spPr>
                </pic:pic>
              </a:graphicData>
            </a:graphic>
          </wp:inline>
        </w:drawing>
      </w:r>
    </w:p>
    <w:p w14:paraId="06A13DFD" w14:textId="4CFD78B7" w:rsidR="00837207" w:rsidRDefault="00E40203" w:rsidP="00443E3D">
      <w:pPr>
        <w:pStyle w:val="Caption"/>
        <w:rPr>
          <w:lang w:val="en-US"/>
        </w:rPr>
      </w:pPr>
      <w:r>
        <w:t xml:space="preserve">Figure </w:t>
      </w:r>
      <w:r>
        <w:fldChar w:fldCharType="begin"/>
      </w:r>
      <w:r>
        <w:instrText xml:space="preserve"> SEQ Figure \* ARABIC </w:instrText>
      </w:r>
      <w:r>
        <w:fldChar w:fldCharType="separate"/>
      </w:r>
      <w:r w:rsidR="00114462">
        <w:rPr>
          <w:noProof/>
        </w:rPr>
        <w:t>5</w:t>
      </w:r>
      <w:r>
        <w:fldChar w:fldCharType="end"/>
      </w:r>
      <w:r>
        <w:t>: M-PUSCH Format 1.</w:t>
      </w:r>
    </w:p>
    <w:p w14:paraId="21C2B171" w14:textId="7942D40F" w:rsidR="00485AA3" w:rsidRDefault="00485AA3" w:rsidP="00485AA3">
      <w:pPr>
        <w:pStyle w:val="Heading2"/>
        <w:numPr>
          <w:ilvl w:val="1"/>
          <w:numId w:val="9"/>
        </w:numPr>
        <w:rPr>
          <w:lang w:val="en-US"/>
        </w:rPr>
      </w:pPr>
      <w:r>
        <w:rPr>
          <w:lang w:val="en-US"/>
        </w:rPr>
        <w:t>M-PUSCH Format 2</w:t>
      </w:r>
    </w:p>
    <w:p w14:paraId="1C9D696C" w14:textId="330CD148" w:rsidR="00D96D5A" w:rsidRDefault="0028474C" w:rsidP="0028474C">
      <w:pPr>
        <w:rPr>
          <w:lang w:val="en-US"/>
        </w:rPr>
      </w:pPr>
      <w:r>
        <w:rPr>
          <w:lang w:val="en-US"/>
        </w:rPr>
        <w:t>M-PUSCH Format 2 is used for UEs who use M-PRACH Format 2 to initiate random access. It also uses 15 kHz subcarrier spacing, and has the</w:t>
      </w:r>
      <w:r w:rsidR="008A5B6E">
        <w:rPr>
          <w:lang w:val="en-US"/>
        </w:rPr>
        <w:t xml:space="preserve"> same</w:t>
      </w:r>
      <w:r>
        <w:rPr>
          <w:lang w:val="en-US"/>
        </w:rPr>
        <w:t xml:space="preserve"> slot and </w:t>
      </w:r>
      <w:proofErr w:type="spellStart"/>
      <w:r>
        <w:rPr>
          <w:lang w:val="en-US"/>
        </w:rPr>
        <w:t>subframe</w:t>
      </w:r>
      <w:proofErr w:type="spellEnd"/>
      <w:r>
        <w:rPr>
          <w:lang w:val="en-US"/>
        </w:rPr>
        <w:t xml:space="preserve"> durations as LTE uplink. Within a slot, it also has 7 OFDM symbols, each with duration identical to what is defined in LTE. Furthermore, M-PUSCH Format </w:t>
      </w:r>
      <w:r w:rsidR="00DA5C86">
        <w:rPr>
          <w:lang w:val="en-US"/>
        </w:rPr>
        <w:t>2</w:t>
      </w:r>
      <w:r>
        <w:rPr>
          <w:lang w:val="en-US"/>
        </w:rPr>
        <w:t xml:space="preserve"> uses only one single subcarrier.</w:t>
      </w:r>
      <w:r w:rsidR="001C1A66">
        <w:rPr>
          <w:lang w:val="en-US"/>
        </w:rPr>
        <w:t xml:space="preserve"> </w:t>
      </w:r>
      <w:proofErr w:type="spellStart"/>
      <w:r w:rsidR="001C1A66">
        <w:rPr>
          <w:lang w:val="en-US"/>
        </w:rPr>
        <w:t>Subframe</w:t>
      </w:r>
      <w:proofErr w:type="spellEnd"/>
      <w:r w:rsidR="001C1A66">
        <w:rPr>
          <w:lang w:val="en-US"/>
        </w:rPr>
        <w:t xml:space="preserve"> and slot formats of M-PUSCH Format 2 are shown in </w:t>
      </w:r>
      <w:r w:rsidR="001C1A66">
        <w:rPr>
          <w:lang w:val="en-US"/>
        </w:rPr>
        <w:fldChar w:fldCharType="begin"/>
      </w:r>
      <w:r w:rsidR="001C1A66">
        <w:rPr>
          <w:lang w:val="en-US"/>
        </w:rPr>
        <w:instrText xml:space="preserve"> REF _Ref433902654 \h </w:instrText>
      </w:r>
      <w:r w:rsidR="001C1A66">
        <w:rPr>
          <w:lang w:val="en-US"/>
        </w:rPr>
      </w:r>
      <w:r w:rsidR="001C1A66">
        <w:rPr>
          <w:lang w:val="en-US"/>
        </w:rPr>
        <w:fldChar w:fldCharType="separate"/>
      </w:r>
      <w:r w:rsidR="001C1A66">
        <w:rPr>
          <w:lang w:val="en-US"/>
        </w:rPr>
        <w:br w:type="textWrapping" w:clear="all"/>
      </w:r>
      <w:r w:rsidR="001C1A66">
        <w:t xml:space="preserve">Figure </w:t>
      </w:r>
      <w:r w:rsidR="001C1A66">
        <w:rPr>
          <w:noProof/>
        </w:rPr>
        <w:t>6</w:t>
      </w:r>
      <w:r w:rsidR="001C1A66">
        <w:rPr>
          <w:lang w:val="en-US"/>
        </w:rPr>
        <w:fldChar w:fldCharType="end"/>
      </w:r>
      <w:r w:rsidR="001C1A66">
        <w:rPr>
          <w:lang w:val="en-US"/>
        </w:rPr>
        <w:t xml:space="preserve">. Here, the main difference compared to Format 1 is that some slots are dedicated to data symbols and some slots are dedicated to demodulation </w:t>
      </w:r>
      <w:r w:rsidR="00A54EB9">
        <w:rPr>
          <w:lang w:val="en-US"/>
        </w:rPr>
        <w:t>reference</w:t>
      </w:r>
      <w:r w:rsidR="001C1A66">
        <w:rPr>
          <w:lang w:val="en-US"/>
        </w:rPr>
        <w:t xml:space="preserve"> symbols</w:t>
      </w:r>
      <w:r w:rsidR="00A54EB9">
        <w:rPr>
          <w:lang w:val="en-US"/>
        </w:rPr>
        <w:t xml:space="preserve"> (DMRS)</w:t>
      </w:r>
      <w:r w:rsidR="001C1A66">
        <w:rPr>
          <w:lang w:val="en-US"/>
        </w:rPr>
        <w:t xml:space="preserve">. </w:t>
      </w:r>
      <w:r w:rsidR="00A54EB9">
        <w:rPr>
          <w:lang w:val="en-US"/>
        </w:rPr>
        <w:t xml:space="preserve">The overhead due to DMRS is </w:t>
      </w:r>
      <w:r w:rsidR="008A5B6E">
        <w:rPr>
          <w:lang w:val="en-US"/>
        </w:rPr>
        <w:t xml:space="preserve">however the same as LTE uplink in that </w:t>
      </w:r>
      <w:r w:rsidR="00A54EB9">
        <w:rPr>
          <w:lang w:val="en-US"/>
        </w:rPr>
        <w:t>one slot in every 7 slots are used for sending DMRS.</w:t>
      </w:r>
      <w:r w:rsidR="006C47AC">
        <w:rPr>
          <w:lang w:val="en-US"/>
        </w:rPr>
        <w:t xml:space="preserve"> Each slot carries one modulated symbol with 6 repetitions as shown in </w:t>
      </w:r>
      <w:r w:rsidR="006C47AC">
        <w:rPr>
          <w:lang w:val="en-US"/>
        </w:rPr>
        <w:fldChar w:fldCharType="begin"/>
      </w:r>
      <w:r w:rsidR="006C47AC">
        <w:rPr>
          <w:lang w:val="en-US"/>
        </w:rPr>
        <w:instrText xml:space="preserve"> REF _Ref433903060 \h </w:instrText>
      </w:r>
      <w:r w:rsidR="006C47AC">
        <w:rPr>
          <w:lang w:val="en-US"/>
        </w:rPr>
      </w:r>
      <w:r w:rsidR="006C47AC">
        <w:rPr>
          <w:lang w:val="en-US"/>
        </w:rPr>
        <w:fldChar w:fldCharType="separate"/>
      </w:r>
      <w:r w:rsidR="006C47AC">
        <w:t xml:space="preserve">Figure </w:t>
      </w:r>
      <w:r w:rsidR="006C47AC">
        <w:rPr>
          <w:noProof/>
        </w:rPr>
        <w:t>7</w:t>
      </w:r>
      <w:r w:rsidR="006C47AC">
        <w:rPr>
          <w:lang w:val="en-US"/>
        </w:rPr>
        <w:fldChar w:fldCharType="end"/>
      </w:r>
      <w:r w:rsidR="006C47AC">
        <w:rPr>
          <w:lang w:val="en-US"/>
        </w:rPr>
        <w:t>. Here, the illustration is based on 1.92 MHz sampling rate and thus one OFDM symbol before CP insertion has 128 samples. As shown each repetition does not contain CP and thus is not aligned with the regular OFDM symbol interval. An aggregated CP of 54 samples is inserted before the first repetition. In addition, a guard symbol before the CP is used.</w:t>
      </w:r>
      <w:r w:rsidR="0079133B">
        <w:rPr>
          <w:lang w:val="en-US"/>
        </w:rPr>
        <w:t xml:space="preserve"> </w:t>
      </w:r>
      <w:r w:rsidR="00274858">
        <w:rPr>
          <w:lang w:val="en-US"/>
        </w:rPr>
        <w:fldChar w:fldCharType="begin"/>
      </w:r>
      <w:r w:rsidR="00274858">
        <w:rPr>
          <w:lang w:val="en-US"/>
        </w:rPr>
        <w:instrText xml:space="preserve"> REF _Ref433903570 \h </w:instrText>
      </w:r>
      <w:r w:rsidR="00274858">
        <w:rPr>
          <w:lang w:val="en-US"/>
        </w:rPr>
      </w:r>
      <w:r w:rsidR="00274858">
        <w:rPr>
          <w:lang w:val="en-US"/>
        </w:rPr>
        <w:fldChar w:fldCharType="separate"/>
      </w:r>
      <w:r w:rsidR="00274858">
        <w:t xml:space="preserve">Figure </w:t>
      </w:r>
      <w:r w:rsidR="00274858">
        <w:rPr>
          <w:noProof/>
        </w:rPr>
        <w:t>8</w:t>
      </w:r>
      <w:r w:rsidR="00274858">
        <w:rPr>
          <w:lang w:val="en-US"/>
        </w:rPr>
        <w:fldChar w:fldCharType="end"/>
      </w:r>
      <w:r w:rsidR="00274858">
        <w:rPr>
          <w:lang w:val="en-US"/>
        </w:rPr>
        <w:t xml:space="preserve"> illustrates the repetition pattern and slot format as shown in </w:t>
      </w:r>
      <w:r w:rsidR="00274858">
        <w:rPr>
          <w:lang w:val="en-US"/>
        </w:rPr>
        <w:fldChar w:fldCharType="begin"/>
      </w:r>
      <w:r w:rsidR="00274858">
        <w:rPr>
          <w:lang w:val="en-US"/>
        </w:rPr>
        <w:instrText xml:space="preserve"> REF _Ref433903060 \h </w:instrText>
      </w:r>
      <w:r w:rsidR="00274858">
        <w:rPr>
          <w:lang w:val="en-US"/>
        </w:rPr>
      </w:r>
      <w:r w:rsidR="00274858">
        <w:rPr>
          <w:lang w:val="en-US"/>
        </w:rPr>
        <w:fldChar w:fldCharType="separate"/>
      </w:r>
      <w:r w:rsidR="00274858">
        <w:t xml:space="preserve">Figure </w:t>
      </w:r>
      <w:r w:rsidR="00274858">
        <w:rPr>
          <w:noProof/>
        </w:rPr>
        <w:t>7</w:t>
      </w:r>
      <w:r w:rsidR="00274858">
        <w:rPr>
          <w:lang w:val="en-US"/>
        </w:rPr>
        <w:fldChar w:fldCharType="end"/>
      </w:r>
      <w:r w:rsidR="00274858">
        <w:rPr>
          <w:lang w:val="en-US"/>
        </w:rPr>
        <w:t>, but with colors to better illustrate the relationship between the CP and the last repetition of the OFDM symbol.</w:t>
      </w:r>
      <w:r w:rsidR="00621217">
        <w:rPr>
          <w:lang w:val="en-US"/>
        </w:rPr>
        <w:t xml:space="preserve"> Note that slot format and repetition pattern as illustrated in </w:t>
      </w:r>
      <w:r w:rsidR="00621217">
        <w:rPr>
          <w:lang w:val="en-US"/>
        </w:rPr>
        <w:fldChar w:fldCharType="begin"/>
      </w:r>
      <w:r w:rsidR="00621217">
        <w:rPr>
          <w:lang w:val="en-US"/>
        </w:rPr>
        <w:instrText xml:space="preserve"> REF _Ref433903060 \h </w:instrText>
      </w:r>
      <w:r w:rsidR="00621217">
        <w:rPr>
          <w:lang w:val="en-US"/>
        </w:rPr>
      </w:r>
      <w:r w:rsidR="00621217">
        <w:rPr>
          <w:lang w:val="en-US"/>
        </w:rPr>
        <w:fldChar w:fldCharType="separate"/>
      </w:r>
      <w:r w:rsidR="00621217">
        <w:t xml:space="preserve">Figure </w:t>
      </w:r>
      <w:r w:rsidR="00621217">
        <w:rPr>
          <w:noProof/>
        </w:rPr>
        <w:t>7</w:t>
      </w:r>
      <w:r w:rsidR="00621217">
        <w:rPr>
          <w:lang w:val="en-US"/>
        </w:rPr>
        <w:fldChar w:fldCharType="end"/>
      </w:r>
      <w:r w:rsidR="00621217">
        <w:rPr>
          <w:lang w:val="en-US"/>
        </w:rPr>
        <w:t xml:space="preserve"> and </w:t>
      </w:r>
      <w:r w:rsidR="00621217">
        <w:rPr>
          <w:lang w:val="en-US"/>
        </w:rPr>
        <w:fldChar w:fldCharType="begin"/>
      </w:r>
      <w:r w:rsidR="00621217">
        <w:rPr>
          <w:lang w:val="en-US"/>
        </w:rPr>
        <w:instrText xml:space="preserve"> REF _Ref433903570 \h </w:instrText>
      </w:r>
      <w:r w:rsidR="00621217">
        <w:rPr>
          <w:lang w:val="en-US"/>
        </w:rPr>
      </w:r>
      <w:r w:rsidR="00621217">
        <w:rPr>
          <w:lang w:val="en-US"/>
        </w:rPr>
        <w:fldChar w:fldCharType="separate"/>
      </w:r>
      <w:r w:rsidR="00621217">
        <w:t xml:space="preserve">Figure </w:t>
      </w:r>
      <w:r w:rsidR="00621217">
        <w:rPr>
          <w:noProof/>
        </w:rPr>
        <w:t>8</w:t>
      </w:r>
      <w:r w:rsidR="00621217">
        <w:rPr>
          <w:lang w:val="en-US"/>
        </w:rPr>
        <w:fldChar w:fldCharType="end"/>
      </w:r>
      <w:r w:rsidR="00621217">
        <w:rPr>
          <w:lang w:val="en-US"/>
        </w:rPr>
        <w:t xml:space="preserve"> apply to both data and DMRS slots.</w:t>
      </w:r>
    </w:p>
    <w:p w14:paraId="44CF439C" w14:textId="0FB1602F" w:rsidR="00D96D5A" w:rsidRDefault="0019310F" w:rsidP="001C1A66">
      <w:pPr>
        <w:pStyle w:val="Caption"/>
      </w:pPr>
      <w:bookmarkStart w:id="3" w:name="_Ref433902654"/>
      <w:r w:rsidRPr="0019310F">
        <w:rPr>
          <w:noProof/>
          <w:lang w:val="en-US" w:eastAsia="zh-TW"/>
        </w:rPr>
        <w:drawing>
          <wp:inline distT="0" distB="0" distL="0" distR="0" wp14:anchorId="21CE6D9E" wp14:editId="4E7C8D96">
            <wp:extent cx="6115050" cy="31759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3175930"/>
                    </a:xfrm>
                    <a:prstGeom prst="rect">
                      <a:avLst/>
                    </a:prstGeom>
                    <a:noFill/>
                    <a:ln>
                      <a:noFill/>
                    </a:ln>
                  </pic:spPr>
                </pic:pic>
              </a:graphicData>
            </a:graphic>
          </wp:inline>
        </w:drawing>
      </w:r>
      <w:r w:rsidR="001C1A66">
        <w:rPr>
          <w:lang w:val="en-US"/>
        </w:rPr>
        <w:br w:type="textWrapping" w:clear="all"/>
      </w:r>
      <w:r w:rsidR="001C1A66">
        <w:t xml:space="preserve">Figure </w:t>
      </w:r>
      <w:r w:rsidR="001C1A66">
        <w:fldChar w:fldCharType="begin"/>
      </w:r>
      <w:r w:rsidR="001C1A66">
        <w:instrText xml:space="preserve"> SEQ Figure \* ARABIC </w:instrText>
      </w:r>
      <w:r w:rsidR="001C1A66">
        <w:fldChar w:fldCharType="separate"/>
      </w:r>
      <w:r w:rsidR="00114462">
        <w:rPr>
          <w:noProof/>
        </w:rPr>
        <w:t>6</w:t>
      </w:r>
      <w:r w:rsidR="001C1A66">
        <w:fldChar w:fldCharType="end"/>
      </w:r>
      <w:bookmarkEnd w:id="3"/>
      <w:r w:rsidR="001C1A66">
        <w:t>: M-PUSCH Format 2.</w:t>
      </w:r>
    </w:p>
    <w:p w14:paraId="428A3EDA" w14:textId="4B9CA193" w:rsidR="006C47AC" w:rsidRDefault="006C47AC" w:rsidP="006C47AC">
      <w:pPr>
        <w:rPr>
          <w:lang w:val="en-US"/>
        </w:rPr>
      </w:pPr>
      <w:r w:rsidRPr="006C47AC">
        <w:rPr>
          <w:noProof/>
          <w:lang w:val="en-US" w:eastAsia="zh-TW"/>
        </w:rPr>
        <w:lastRenderedPageBreak/>
        <w:drawing>
          <wp:inline distT="0" distB="0" distL="0" distR="0" wp14:anchorId="6D8D323B" wp14:editId="79D681FA">
            <wp:extent cx="6115050" cy="2437789"/>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437789"/>
                    </a:xfrm>
                    <a:prstGeom prst="rect">
                      <a:avLst/>
                    </a:prstGeom>
                    <a:noFill/>
                    <a:ln>
                      <a:noFill/>
                    </a:ln>
                  </pic:spPr>
                </pic:pic>
              </a:graphicData>
            </a:graphic>
          </wp:inline>
        </w:drawing>
      </w:r>
    </w:p>
    <w:p w14:paraId="7775FFC4" w14:textId="29DDC890" w:rsidR="006C47AC" w:rsidRDefault="006C47AC" w:rsidP="006C47AC">
      <w:pPr>
        <w:pStyle w:val="Caption"/>
      </w:pPr>
      <w:bookmarkStart w:id="4" w:name="_Ref433903060"/>
      <w:r>
        <w:t xml:space="preserve">Figure </w:t>
      </w:r>
      <w:r>
        <w:fldChar w:fldCharType="begin"/>
      </w:r>
      <w:r>
        <w:instrText xml:space="preserve"> SEQ Figure \* ARABIC </w:instrText>
      </w:r>
      <w:r>
        <w:fldChar w:fldCharType="separate"/>
      </w:r>
      <w:r w:rsidR="00114462">
        <w:rPr>
          <w:noProof/>
        </w:rPr>
        <w:t>7</w:t>
      </w:r>
      <w:r>
        <w:fldChar w:fldCharType="end"/>
      </w:r>
      <w:bookmarkEnd w:id="4"/>
      <w:r>
        <w:t>: Symbol repetition pattern according to M-PUSCH Format 2.</w:t>
      </w:r>
      <w:r w:rsidR="008A5B6E">
        <w:t xml:space="preserve"> (Note that each repetition does not include CP and thus does not align with OFDM symbol boundary)</w:t>
      </w:r>
    </w:p>
    <w:p w14:paraId="3C63F628" w14:textId="77777777" w:rsidR="008A5B6E" w:rsidRPr="008A5B6E" w:rsidRDefault="008A5B6E" w:rsidP="008A5B6E"/>
    <w:p w14:paraId="762274BA" w14:textId="17276060" w:rsidR="006C47AC" w:rsidRDefault="0079133B" w:rsidP="006C47AC">
      <w:pPr>
        <w:rPr>
          <w:lang w:val="en-US"/>
        </w:rPr>
      </w:pPr>
      <w:r w:rsidRPr="0079133B">
        <w:rPr>
          <w:noProof/>
          <w:lang w:val="en-US" w:eastAsia="zh-TW"/>
        </w:rPr>
        <w:drawing>
          <wp:inline distT="0" distB="0" distL="0" distR="0" wp14:anchorId="4384CCC7" wp14:editId="6D835448">
            <wp:extent cx="6115050" cy="233569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335691"/>
                    </a:xfrm>
                    <a:prstGeom prst="rect">
                      <a:avLst/>
                    </a:prstGeom>
                    <a:noFill/>
                    <a:ln>
                      <a:noFill/>
                    </a:ln>
                  </pic:spPr>
                </pic:pic>
              </a:graphicData>
            </a:graphic>
          </wp:inline>
        </w:drawing>
      </w:r>
    </w:p>
    <w:p w14:paraId="39797932" w14:textId="77777777" w:rsidR="0079133B" w:rsidRDefault="0079133B" w:rsidP="0079133B">
      <w:pPr>
        <w:pStyle w:val="Caption"/>
      </w:pPr>
      <w:bookmarkStart w:id="5" w:name="_Ref433903570"/>
      <w:r>
        <w:t xml:space="preserve">Figure </w:t>
      </w:r>
      <w:r>
        <w:fldChar w:fldCharType="begin"/>
      </w:r>
      <w:r>
        <w:instrText xml:space="preserve"> SEQ Figure \* ARABIC </w:instrText>
      </w:r>
      <w:r>
        <w:fldChar w:fldCharType="separate"/>
      </w:r>
      <w:r w:rsidR="00114462">
        <w:rPr>
          <w:noProof/>
        </w:rPr>
        <w:t>8</w:t>
      </w:r>
      <w:r>
        <w:fldChar w:fldCharType="end"/>
      </w:r>
      <w:bookmarkEnd w:id="5"/>
      <w:r>
        <w:t>: Symbol repetition pattern according to M-PUSCH Format 2.</w:t>
      </w:r>
    </w:p>
    <w:p w14:paraId="326EF332" w14:textId="322C0CBB" w:rsidR="00312121" w:rsidRDefault="00621217" w:rsidP="00621217">
      <w:r>
        <w:t xml:space="preserve">Without timing error, the </w:t>
      </w:r>
      <w:r w:rsidR="00383ED7">
        <w:t xml:space="preserve">signal as illustrated in </w:t>
      </w:r>
      <w:r w:rsidR="00383ED7">
        <w:fldChar w:fldCharType="begin"/>
      </w:r>
      <w:r w:rsidR="00383ED7">
        <w:instrText xml:space="preserve"> REF _Ref433903570 \h </w:instrText>
      </w:r>
      <w:r w:rsidR="00383ED7">
        <w:fldChar w:fldCharType="separate"/>
      </w:r>
      <w:r w:rsidR="00383ED7">
        <w:t xml:space="preserve">Figure </w:t>
      </w:r>
      <w:r w:rsidR="00383ED7">
        <w:rPr>
          <w:noProof/>
        </w:rPr>
        <w:t>8</w:t>
      </w:r>
      <w:r w:rsidR="00383ED7">
        <w:fldChar w:fldCharType="end"/>
      </w:r>
      <w:r w:rsidR="00383ED7">
        <w:t xml:space="preserve"> is received at the base station. The base station uses the blue bars</w:t>
      </w:r>
      <w:r w:rsidR="009A43E4">
        <w:t xml:space="preserve"> as the OFDM symbol boundaries and</w:t>
      </w:r>
      <w:r w:rsidR="009A43E4" w:rsidRPr="009A43E4">
        <w:t xml:space="preserve"> follows regular LTE </w:t>
      </w:r>
      <w:r w:rsidR="001C72C8">
        <w:t xml:space="preserve">receiver </w:t>
      </w:r>
      <w:r w:rsidR="009A43E4" w:rsidRPr="009A43E4">
        <w:t xml:space="preserve">processing, i.e. discarding the first 10 samples, taking the next 128 samples as the data portion of the first OFDM symbol, discarding the next 9 samples, taking the next 128 samples as the data portion of the second OFDM symbol, discarding the next 9 samples, taking the next 128 samples as the data portion of the third OFDM symbol, etc. The data portion of the first OFDM symbol in this case does not have any contribution from the </w:t>
      </w:r>
      <w:r w:rsidR="009A43E4">
        <w:t>M-PUSCH Format 2</w:t>
      </w:r>
      <w:r w:rsidR="009A43E4" w:rsidRPr="009A43E4">
        <w:t xml:space="preserve"> signal shown. It may however consist of other UE signals not shown. The data portion of the second OFDM symbol consists of a contribution from the </w:t>
      </w:r>
      <w:r w:rsidR="009A43E4">
        <w:t>M-PUSCH Format 2</w:t>
      </w:r>
      <w:r w:rsidR="0010487F">
        <w:t xml:space="preserve"> signal</w:t>
      </w:r>
      <w:r w:rsidR="009A43E4" w:rsidRPr="009A43E4">
        <w:t xml:space="preserve">, starting with the orange </w:t>
      </w:r>
      <w:proofErr w:type="spellStart"/>
      <w:r w:rsidR="009A43E4" w:rsidRPr="009A43E4">
        <w:t>colored</w:t>
      </w:r>
      <w:proofErr w:type="spellEnd"/>
      <w:r w:rsidR="009A43E4" w:rsidRPr="009A43E4">
        <w:t xml:space="preserve"> portion to the green </w:t>
      </w:r>
      <w:proofErr w:type="spellStart"/>
      <w:r w:rsidR="009A43E4" w:rsidRPr="009A43E4">
        <w:t>colored</w:t>
      </w:r>
      <w:proofErr w:type="spellEnd"/>
      <w:r w:rsidR="009A43E4" w:rsidRPr="009A43E4">
        <w:t xml:space="preserve"> portion. This portion is a cycl</w:t>
      </w:r>
      <w:r w:rsidR="00972509">
        <w:t xml:space="preserve">ic shift of the original 128-sample </w:t>
      </w:r>
      <w:proofErr w:type="spellStart"/>
      <w:r w:rsidR="00972509">
        <w:t>repetiton</w:t>
      </w:r>
      <w:proofErr w:type="spellEnd"/>
      <w:r w:rsidR="009A43E4" w:rsidRPr="009A43E4">
        <w:t xml:space="preserve">, and thus the orthogonality with all other UEs is preserved. The data portion of the third OFDM symbol consists of a contribution from the </w:t>
      </w:r>
      <w:r w:rsidR="0010487F">
        <w:t>M-PUSCH Format 2</w:t>
      </w:r>
      <w:r w:rsidR="009A43E4" w:rsidRPr="009A43E4">
        <w:t xml:space="preserve"> signal, starting with the yellow </w:t>
      </w:r>
      <w:proofErr w:type="spellStart"/>
      <w:r w:rsidR="009A43E4" w:rsidRPr="009A43E4">
        <w:t>colored</w:t>
      </w:r>
      <w:proofErr w:type="spellEnd"/>
      <w:r w:rsidR="009A43E4" w:rsidRPr="009A43E4">
        <w:t xml:space="preserve"> portion to the orange </w:t>
      </w:r>
      <w:proofErr w:type="spellStart"/>
      <w:r w:rsidR="009A43E4" w:rsidRPr="009A43E4">
        <w:t>colored</w:t>
      </w:r>
      <w:proofErr w:type="spellEnd"/>
      <w:r w:rsidR="009A43E4" w:rsidRPr="009A43E4">
        <w:t xml:space="preserve"> portion. Again, this portion is a cyclic shift of the original </w:t>
      </w:r>
      <w:r w:rsidR="00972509">
        <w:t xml:space="preserve">128-sample </w:t>
      </w:r>
      <w:r w:rsidR="0010487F">
        <w:t>repetition</w:t>
      </w:r>
      <w:r w:rsidR="009A43E4" w:rsidRPr="009A43E4">
        <w:t xml:space="preserve">, and thus the orthogonality with all other UEs is preserved. The data portion of the third OFDM symbol is a cyclic shift of the data portion of the second OFDM symbol. This means that effective channel coefficient in the frequency-domain needs to be phase rotated according to the relative time shift (e.g. 9 samples as shown in Figure </w:t>
      </w:r>
      <w:r w:rsidR="0010487F">
        <w:t>8</w:t>
      </w:r>
      <w:r w:rsidR="009A43E4" w:rsidRPr="009A43E4">
        <w:t>). Thus, in order to combine these two OFDM symbols coherently, a suitable phase shift needs to be applied. Without going into much further details, it can be seen that the above description applies to all the remaining OFDM symbols in the slot.</w:t>
      </w:r>
    </w:p>
    <w:p w14:paraId="44E827D7" w14:textId="346EAA2C" w:rsidR="00312121" w:rsidRDefault="00B41D1A" w:rsidP="00312121">
      <w:r>
        <w:fldChar w:fldCharType="begin"/>
      </w:r>
      <w:r>
        <w:instrText xml:space="preserve"> REF _Ref433904463 \h </w:instrText>
      </w:r>
      <w:r>
        <w:fldChar w:fldCharType="separate"/>
      </w:r>
      <w:r>
        <w:t xml:space="preserve">Figure </w:t>
      </w:r>
      <w:r>
        <w:rPr>
          <w:noProof/>
        </w:rPr>
        <w:t>9</w:t>
      </w:r>
      <w:r>
        <w:fldChar w:fldCharType="end"/>
      </w:r>
      <w:r>
        <w:t xml:space="preserve"> </w:t>
      </w:r>
      <w:r w:rsidR="00312121">
        <w:t xml:space="preserve">shows an example where the timing advance error is very large (e.g. </w:t>
      </w:r>
      <w:r>
        <w:t>60</w:t>
      </w:r>
      <w:r w:rsidR="00312121">
        <w:t xml:space="preserve"> samples</w:t>
      </w:r>
      <w:r>
        <w:t xml:space="preserve">, i.e. 47 </w:t>
      </w:r>
      <w:r w:rsidRPr="00B41D1A">
        <w:rPr>
          <w:rFonts w:ascii="Symbol" w:hAnsi="Symbol"/>
        </w:rPr>
        <w:t></w:t>
      </w:r>
      <w:r>
        <w:t>s</w:t>
      </w:r>
      <w:r w:rsidR="00312121">
        <w:t xml:space="preserve">). The base station receiver still follows the same operation as described before, i.e. discarding the first 10 samples, taking the next 128 samples as the data portion of the first OFDM symbol, discarding the next 9 samples, </w:t>
      </w:r>
      <w:r w:rsidR="00312121">
        <w:lastRenderedPageBreak/>
        <w:t xml:space="preserve">taking the next 128 samples as the data portion of the second OFDM symbol, discarding the next 9 samples, taking the next 128 samples as the data portion of the third OFDM symbol, etc. The only difference is that the </w:t>
      </w:r>
      <w:r>
        <w:t>M-PUSCH Format 2</w:t>
      </w:r>
      <w:r w:rsidRPr="009A43E4">
        <w:t xml:space="preserve"> </w:t>
      </w:r>
      <w:r w:rsidR="00312121">
        <w:t xml:space="preserve">as shown will cause interference to OFDM symbols 1 and 7 of the other UE signals. However, OFDM symbols 2 through 6 maintain orthogonality with all other UE signals. Furthermore, as described before, the base station receiver needs to apply suitable phase shifts in order to be able to combine different repetitions of the UE signal coherently. </w:t>
      </w:r>
      <w:r>
        <w:t xml:space="preserve">Interference from M-PUSCH Format 2 to other UE signals however will have negligible impact as the received signal power level of M-PUSCH Format 2 is expected to be much lower compared to M-PUSCH Format 1 signals. It is worth pointing out that although M-PUSCH Format 2 is not orthogonal to </w:t>
      </w:r>
      <w:r w:rsidR="00D32353">
        <w:t xml:space="preserve">M-PUSCH Format 1 </w:t>
      </w:r>
      <w:r>
        <w:t>OFDM symbols 1 and 7 when the TA error is large</w:t>
      </w:r>
      <w:r w:rsidR="00D32353">
        <w:t xml:space="preserve">, M-PUSCH Format 1 signals do not cause any interference to M-PUSCH Format 2 in the scenario illustrated in </w:t>
      </w:r>
      <w:r w:rsidR="00D32353">
        <w:fldChar w:fldCharType="begin"/>
      </w:r>
      <w:r w:rsidR="00D32353">
        <w:instrText xml:space="preserve"> REF _Ref433904463 \h </w:instrText>
      </w:r>
      <w:r w:rsidR="00D32353">
        <w:fldChar w:fldCharType="separate"/>
      </w:r>
      <w:r w:rsidR="00D32353">
        <w:t xml:space="preserve">Figure </w:t>
      </w:r>
      <w:r w:rsidR="00D32353">
        <w:rPr>
          <w:noProof/>
        </w:rPr>
        <w:t>9</w:t>
      </w:r>
      <w:r w:rsidR="00D32353">
        <w:fldChar w:fldCharType="end"/>
      </w:r>
      <w:r w:rsidR="00D32353">
        <w:t>. This is because that the 128-sample data portion in every OFDM symbol interval contains a regular full-length M-PUSCH Format 1 OFDM symbol. Such a signal after DFT will not have any contribution at the subcarrier frequency allocated to M-PUSCH Format 2.</w:t>
      </w:r>
    </w:p>
    <w:p w14:paraId="62C93011" w14:textId="0DC597F8" w:rsidR="00B41D1A" w:rsidRDefault="000813FD" w:rsidP="00312121">
      <w:r>
        <w:t>Although in the description above we use 128-sampling for the data portion, note that with 15 kHz subcarrier spacing 16-point FFT suffices. Thus, the 128 samples can be down-sampled to 16 samples before FFT. As such, the receiver complexity is lower with 15 kHz subcarrier spacing compared to 2.5 kHz as 2.5 kHz subcarrier spacing requires 128-point FFT.</w:t>
      </w:r>
    </w:p>
    <w:p w14:paraId="35E78181" w14:textId="77777777" w:rsidR="00B41D1A" w:rsidRDefault="00B41D1A" w:rsidP="00621217">
      <w:r w:rsidRPr="00B41D1A">
        <w:rPr>
          <w:noProof/>
          <w:lang w:val="en-US" w:eastAsia="zh-TW"/>
        </w:rPr>
        <w:drawing>
          <wp:inline distT="0" distB="0" distL="0" distR="0" wp14:anchorId="3740EE57" wp14:editId="5FCE131A">
            <wp:extent cx="6115050" cy="290744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907448"/>
                    </a:xfrm>
                    <a:prstGeom prst="rect">
                      <a:avLst/>
                    </a:prstGeom>
                    <a:noFill/>
                    <a:ln>
                      <a:noFill/>
                    </a:ln>
                  </pic:spPr>
                </pic:pic>
              </a:graphicData>
            </a:graphic>
          </wp:inline>
        </w:drawing>
      </w:r>
    </w:p>
    <w:p w14:paraId="3DF244FD" w14:textId="3E425D55" w:rsidR="00621217" w:rsidRDefault="00B41D1A" w:rsidP="00B41D1A">
      <w:pPr>
        <w:pStyle w:val="Caption"/>
      </w:pPr>
      <w:bookmarkStart w:id="6" w:name="_Ref433904463"/>
      <w:r>
        <w:t xml:space="preserve">Figure </w:t>
      </w:r>
      <w:r>
        <w:fldChar w:fldCharType="begin"/>
      </w:r>
      <w:r>
        <w:instrText xml:space="preserve"> SEQ Figure \* ARABIC </w:instrText>
      </w:r>
      <w:r>
        <w:fldChar w:fldCharType="separate"/>
      </w:r>
      <w:r w:rsidR="00114462">
        <w:rPr>
          <w:noProof/>
        </w:rPr>
        <w:t>9</w:t>
      </w:r>
      <w:r>
        <w:fldChar w:fldCharType="end"/>
      </w:r>
      <w:bookmarkEnd w:id="6"/>
      <w:r>
        <w:t>: M-PUSCH Format 2 signal received at the base station with large timing advanced error.</w:t>
      </w:r>
      <w:r w:rsidR="00383ED7">
        <w:t xml:space="preserve"> </w:t>
      </w:r>
    </w:p>
    <w:p w14:paraId="7A18DD00" w14:textId="77777777" w:rsidR="00383ED7" w:rsidRDefault="00383ED7" w:rsidP="00621217"/>
    <w:p w14:paraId="7063AC47" w14:textId="019C8AA3" w:rsidR="00443E3D" w:rsidRDefault="00443E3D" w:rsidP="00621217">
      <w:r>
        <w:t>Note that the basic transmission unit of M-PUSCH Formats 1 and 2 is one slot, which has the same duration as an LTE slot. Thus, M-PUSCH with 15 kHz subcarrier spacing using the proposed formats will fit any LTE TDD configuration</w:t>
      </w:r>
      <w:bookmarkStart w:id="7" w:name="_GoBack"/>
      <w:bookmarkEnd w:id="7"/>
      <w:r>
        <w:t xml:space="preserve">. </w:t>
      </w:r>
    </w:p>
    <w:p w14:paraId="757CA417" w14:textId="77777777" w:rsidR="00383ED7" w:rsidRPr="00621217" w:rsidRDefault="00383ED7" w:rsidP="00621217"/>
    <w:p w14:paraId="5E5A2A91" w14:textId="2B9A8089" w:rsidR="0079133B" w:rsidRDefault="006F150A" w:rsidP="006F150A">
      <w:pPr>
        <w:pStyle w:val="Heading2"/>
        <w:rPr>
          <w:lang w:val="en-US"/>
        </w:rPr>
      </w:pPr>
      <w:r>
        <w:rPr>
          <w:lang w:val="en-US"/>
        </w:rPr>
        <w:t>M-PUSCH MCS examples</w:t>
      </w:r>
    </w:p>
    <w:p w14:paraId="4803641D" w14:textId="0EBC333A" w:rsidR="006F150A" w:rsidRDefault="006F150A" w:rsidP="006F150A">
      <w:pPr>
        <w:rPr>
          <w:lang w:val="en-US"/>
        </w:rPr>
      </w:pPr>
      <w:r>
        <w:rPr>
          <w:lang w:val="en-US"/>
        </w:rPr>
        <w:t xml:space="preserve">Examples of M-PUSCH for 144 dB and 154 dB coupling loss are shown in </w:t>
      </w:r>
      <w:r>
        <w:rPr>
          <w:lang w:val="en-US"/>
        </w:rPr>
        <w:fldChar w:fldCharType="begin"/>
      </w:r>
      <w:r>
        <w:rPr>
          <w:lang w:val="en-US"/>
        </w:rPr>
        <w:instrText xml:space="preserve"> REF _Ref433905823 \h </w:instrText>
      </w:r>
      <w:r>
        <w:rPr>
          <w:lang w:val="en-US"/>
        </w:rPr>
      </w:r>
      <w:r>
        <w:rPr>
          <w:lang w:val="en-US"/>
        </w:rPr>
        <w:fldChar w:fldCharType="separate"/>
      </w:r>
      <w:r>
        <w:t xml:space="preserve">Figure </w:t>
      </w:r>
      <w:r>
        <w:rPr>
          <w:noProof/>
        </w:rPr>
        <w:t>10</w:t>
      </w:r>
      <w:r>
        <w:rPr>
          <w:lang w:val="en-US"/>
        </w:rPr>
        <w:fldChar w:fldCharType="end"/>
      </w:r>
      <w:r>
        <w:rPr>
          <w:lang w:val="en-US"/>
        </w:rPr>
        <w:t xml:space="preserve"> and </w:t>
      </w:r>
      <w:r>
        <w:rPr>
          <w:lang w:val="en-US"/>
        </w:rPr>
        <w:fldChar w:fldCharType="begin"/>
      </w:r>
      <w:r>
        <w:rPr>
          <w:lang w:val="en-US"/>
        </w:rPr>
        <w:instrText xml:space="preserve"> REF _Ref433905899 \h </w:instrText>
      </w:r>
      <w:r>
        <w:rPr>
          <w:lang w:val="en-US"/>
        </w:rPr>
      </w:r>
      <w:r>
        <w:rPr>
          <w:lang w:val="en-US"/>
        </w:rPr>
        <w:fldChar w:fldCharType="separate"/>
      </w:r>
      <w:r>
        <w:t xml:space="preserve">Figure </w:t>
      </w:r>
      <w:r>
        <w:rPr>
          <w:noProof/>
        </w:rPr>
        <w:t>11</w:t>
      </w:r>
      <w:r>
        <w:rPr>
          <w:lang w:val="en-US"/>
        </w:rPr>
        <w:fldChar w:fldCharType="end"/>
      </w:r>
      <w:r>
        <w:rPr>
          <w:lang w:val="en-US"/>
        </w:rPr>
        <w:t>, respectively. Both</w:t>
      </w:r>
      <w:r w:rsidR="001F60F1">
        <w:rPr>
          <w:lang w:val="en-US"/>
        </w:rPr>
        <w:t xml:space="preserve"> MCSs can be mapped to M-PUSCH F</w:t>
      </w:r>
      <w:r>
        <w:rPr>
          <w:lang w:val="en-US"/>
        </w:rPr>
        <w:t>ormat 1 based on LTE uplink SC-FDMA waveform.</w:t>
      </w:r>
    </w:p>
    <w:p w14:paraId="36034028" w14:textId="4E52174E" w:rsidR="006F150A" w:rsidRDefault="006F150A" w:rsidP="006F150A">
      <w:pPr>
        <w:rPr>
          <w:lang w:val="en-US"/>
        </w:rPr>
      </w:pPr>
      <w:r w:rsidRPr="006F150A">
        <w:rPr>
          <w:noProof/>
          <w:lang w:val="en-US" w:eastAsia="zh-TW"/>
        </w:rPr>
        <w:drawing>
          <wp:inline distT="0" distB="0" distL="0" distR="0" wp14:anchorId="383A4F06" wp14:editId="7AE6030A">
            <wp:extent cx="6115050" cy="105430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054304"/>
                    </a:xfrm>
                    <a:prstGeom prst="rect">
                      <a:avLst/>
                    </a:prstGeom>
                    <a:noFill/>
                    <a:ln>
                      <a:noFill/>
                    </a:ln>
                  </pic:spPr>
                </pic:pic>
              </a:graphicData>
            </a:graphic>
          </wp:inline>
        </w:drawing>
      </w:r>
    </w:p>
    <w:p w14:paraId="4DB1D6F0" w14:textId="11F4A234" w:rsidR="006F150A" w:rsidRPr="006F150A" w:rsidRDefault="006F150A" w:rsidP="006F150A">
      <w:pPr>
        <w:pStyle w:val="Caption"/>
        <w:rPr>
          <w:lang w:val="en-US"/>
        </w:rPr>
      </w:pPr>
      <w:bookmarkStart w:id="8" w:name="_Ref433905823"/>
      <w:r>
        <w:t xml:space="preserve">Figure </w:t>
      </w:r>
      <w:r>
        <w:fldChar w:fldCharType="begin"/>
      </w:r>
      <w:r>
        <w:instrText xml:space="preserve"> SEQ Figure \* ARABIC </w:instrText>
      </w:r>
      <w:r>
        <w:fldChar w:fldCharType="separate"/>
      </w:r>
      <w:r w:rsidR="00114462">
        <w:rPr>
          <w:noProof/>
        </w:rPr>
        <w:t>10</w:t>
      </w:r>
      <w:r>
        <w:fldChar w:fldCharType="end"/>
      </w:r>
      <w:bookmarkEnd w:id="8"/>
      <w:r>
        <w:t>: M-PUSCH configuration for achieving 144 dB MCL. (</w:t>
      </w:r>
      <w:proofErr w:type="gramStart"/>
      <w:r>
        <w:t>mapped</w:t>
      </w:r>
      <w:proofErr w:type="gramEnd"/>
      <w:r>
        <w:t xml:space="preserve"> to M-PUSCH Format 1)</w:t>
      </w:r>
    </w:p>
    <w:p w14:paraId="22E4F769" w14:textId="5E6B5139" w:rsidR="006C47AC" w:rsidRDefault="006F150A" w:rsidP="006C47AC">
      <w:pPr>
        <w:rPr>
          <w:lang w:val="en-US"/>
        </w:rPr>
      </w:pPr>
      <w:r w:rsidRPr="006F150A">
        <w:rPr>
          <w:noProof/>
          <w:lang w:val="en-US" w:eastAsia="zh-TW"/>
        </w:rPr>
        <w:lastRenderedPageBreak/>
        <w:drawing>
          <wp:inline distT="0" distB="0" distL="0" distR="0" wp14:anchorId="5EF35721" wp14:editId="0599825F">
            <wp:extent cx="6115050" cy="10502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050288"/>
                    </a:xfrm>
                    <a:prstGeom prst="rect">
                      <a:avLst/>
                    </a:prstGeom>
                    <a:noFill/>
                    <a:ln>
                      <a:noFill/>
                    </a:ln>
                  </pic:spPr>
                </pic:pic>
              </a:graphicData>
            </a:graphic>
          </wp:inline>
        </w:drawing>
      </w:r>
    </w:p>
    <w:p w14:paraId="3D02EDC6" w14:textId="05122B22" w:rsidR="006F150A" w:rsidRDefault="006F150A" w:rsidP="006F150A">
      <w:pPr>
        <w:pStyle w:val="Caption"/>
        <w:rPr>
          <w:lang w:val="en-US"/>
        </w:rPr>
      </w:pPr>
      <w:bookmarkStart w:id="9" w:name="_Ref433905899"/>
      <w:r>
        <w:t xml:space="preserve">Figure </w:t>
      </w:r>
      <w:r>
        <w:fldChar w:fldCharType="begin"/>
      </w:r>
      <w:r>
        <w:instrText xml:space="preserve"> SEQ Figure \* ARABIC </w:instrText>
      </w:r>
      <w:r>
        <w:fldChar w:fldCharType="separate"/>
      </w:r>
      <w:r w:rsidR="00114462">
        <w:rPr>
          <w:noProof/>
        </w:rPr>
        <w:t>11</w:t>
      </w:r>
      <w:r>
        <w:fldChar w:fldCharType="end"/>
      </w:r>
      <w:bookmarkEnd w:id="9"/>
      <w:r>
        <w:t>: M-PUSCH configuration for achieving 154 dB MCL. (</w:t>
      </w:r>
      <w:proofErr w:type="gramStart"/>
      <w:r>
        <w:t>mapped</w:t>
      </w:r>
      <w:proofErr w:type="gramEnd"/>
      <w:r>
        <w:t xml:space="preserve"> to M-PUSCH Format 1)</w:t>
      </w:r>
    </w:p>
    <w:p w14:paraId="44F449F1" w14:textId="77777777" w:rsidR="006C47AC" w:rsidRDefault="006C47AC" w:rsidP="006C47AC">
      <w:pPr>
        <w:rPr>
          <w:lang w:val="en-US"/>
        </w:rPr>
      </w:pPr>
    </w:p>
    <w:p w14:paraId="36E28B10" w14:textId="592E7DF5" w:rsidR="006F150A" w:rsidRDefault="006F150A" w:rsidP="006C47AC">
      <w:pPr>
        <w:rPr>
          <w:lang w:val="en-US"/>
        </w:rPr>
      </w:pPr>
      <w:r>
        <w:rPr>
          <w:lang w:val="en-US"/>
        </w:rPr>
        <w:fldChar w:fldCharType="begin"/>
      </w:r>
      <w:r>
        <w:rPr>
          <w:lang w:val="en-US"/>
        </w:rPr>
        <w:instrText xml:space="preserve"> REF _Ref433906146 \h </w:instrText>
      </w:r>
      <w:r>
        <w:rPr>
          <w:lang w:val="en-US"/>
        </w:rPr>
      </w:r>
      <w:r>
        <w:rPr>
          <w:lang w:val="en-US"/>
        </w:rPr>
        <w:fldChar w:fldCharType="separate"/>
      </w:r>
      <w:r>
        <w:t xml:space="preserve">Figure </w:t>
      </w:r>
      <w:r>
        <w:rPr>
          <w:noProof/>
        </w:rPr>
        <w:t>12</w:t>
      </w:r>
      <w:r>
        <w:rPr>
          <w:lang w:val="en-US"/>
        </w:rPr>
        <w:fldChar w:fldCharType="end"/>
      </w:r>
      <w:r>
        <w:rPr>
          <w:lang w:val="en-US"/>
        </w:rPr>
        <w:t xml:space="preserve"> shows a configuration for achieving 164 dB MCL based on M-PUSCH format 2.</w:t>
      </w:r>
      <w:r w:rsidR="00A91392">
        <w:rPr>
          <w:lang w:val="en-US"/>
        </w:rPr>
        <w:t xml:space="preserve"> After pi/2-BPSK modulation, there are 3840 symbols. Each of these symbols is repeated 6 times according to </w:t>
      </w:r>
      <w:r w:rsidR="00A91392">
        <w:rPr>
          <w:lang w:val="en-US"/>
        </w:rPr>
        <w:fldChar w:fldCharType="begin"/>
      </w:r>
      <w:r w:rsidR="00A91392">
        <w:rPr>
          <w:lang w:val="en-US"/>
        </w:rPr>
        <w:instrText xml:space="preserve"> REF _Ref433903060 \h </w:instrText>
      </w:r>
      <w:r w:rsidR="00A91392">
        <w:rPr>
          <w:lang w:val="en-US"/>
        </w:rPr>
      </w:r>
      <w:r w:rsidR="00A91392">
        <w:rPr>
          <w:lang w:val="en-US"/>
        </w:rPr>
        <w:fldChar w:fldCharType="separate"/>
      </w:r>
      <w:r w:rsidR="00A91392">
        <w:t xml:space="preserve">Figure </w:t>
      </w:r>
      <w:r w:rsidR="00A91392">
        <w:rPr>
          <w:noProof/>
        </w:rPr>
        <w:t>7</w:t>
      </w:r>
      <w:r w:rsidR="00A91392">
        <w:rPr>
          <w:lang w:val="en-US"/>
        </w:rPr>
        <w:fldChar w:fldCharType="end"/>
      </w:r>
      <w:r w:rsidR="00A91392">
        <w:rPr>
          <w:lang w:val="en-US"/>
        </w:rPr>
        <w:t xml:space="preserve">, and with CP and guard time it occupies one entire slot. Thus, 3840 slots are needed. For every 6 slot with data symbols, one slot of DMRS is added. Thus, 640 DMRS slots are added. Overall, it requires 4480 slots, i.e. 2240 </w:t>
      </w:r>
      <w:proofErr w:type="spellStart"/>
      <w:r w:rsidR="00A91392">
        <w:rPr>
          <w:lang w:val="en-US"/>
        </w:rPr>
        <w:t>subframes</w:t>
      </w:r>
      <w:proofErr w:type="spellEnd"/>
      <w:r w:rsidR="00A91392">
        <w:rPr>
          <w:lang w:val="en-US"/>
        </w:rPr>
        <w:t>.</w:t>
      </w:r>
    </w:p>
    <w:p w14:paraId="49886F38" w14:textId="77777777" w:rsidR="006F150A" w:rsidRDefault="006F150A" w:rsidP="006C47AC">
      <w:pPr>
        <w:rPr>
          <w:lang w:val="en-US"/>
        </w:rPr>
      </w:pPr>
    </w:p>
    <w:p w14:paraId="78783BC4" w14:textId="059FE5FB" w:rsidR="006F150A" w:rsidRDefault="00A91392" w:rsidP="006C47AC">
      <w:pPr>
        <w:rPr>
          <w:lang w:val="en-US"/>
        </w:rPr>
      </w:pPr>
      <w:r w:rsidRPr="00A91392">
        <w:rPr>
          <w:noProof/>
          <w:lang w:val="en-US" w:eastAsia="zh-TW"/>
        </w:rPr>
        <w:drawing>
          <wp:inline distT="0" distB="0" distL="0" distR="0" wp14:anchorId="53D80967" wp14:editId="4028F7FA">
            <wp:extent cx="6115050" cy="13065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306583"/>
                    </a:xfrm>
                    <a:prstGeom prst="rect">
                      <a:avLst/>
                    </a:prstGeom>
                    <a:noFill/>
                    <a:ln>
                      <a:noFill/>
                    </a:ln>
                  </pic:spPr>
                </pic:pic>
              </a:graphicData>
            </a:graphic>
          </wp:inline>
        </w:drawing>
      </w:r>
    </w:p>
    <w:p w14:paraId="6B2576DA" w14:textId="63EA844E" w:rsidR="006F150A" w:rsidRDefault="006F150A" w:rsidP="006F150A">
      <w:pPr>
        <w:pStyle w:val="Caption"/>
        <w:rPr>
          <w:lang w:val="en-US"/>
        </w:rPr>
      </w:pPr>
      <w:bookmarkStart w:id="10" w:name="_Ref433906146"/>
      <w:r>
        <w:t xml:space="preserve">Figure </w:t>
      </w:r>
      <w:r>
        <w:fldChar w:fldCharType="begin"/>
      </w:r>
      <w:r>
        <w:instrText xml:space="preserve"> SEQ Figure \* ARABIC </w:instrText>
      </w:r>
      <w:r>
        <w:fldChar w:fldCharType="separate"/>
      </w:r>
      <w:r w:rsidR="00114462">
        <w:rPr>
          <w:noProof/>
        </w:rPr>
        <w:t>12</w:t>
      </w:r>
      <w:r>
        <w:fldChar w:fldCharType="end"/>
      </w:r>
      <w:bookmarkEnd w:id="10"/>
      <w:r>
        <w:t>: M-PUSCH configuration for achieving 164 dB MCL. (</w:t>
      </w:r>
      <w:proofErr w:type="gramStart"/>
      <w:r>
        <w:t>mapped</w:t>
      </w:r>
      <w:proofErr w:type="gramEnd"/>
      <w:r>
        <w:t xml:space="preserve"> to M-PUSCH Format 2)</w:t>
      </w:r>
    </w:p>
    <w:p w14:paraId="05336DEE" w14:textId="14C4FB91" w:rsidR="00FD3E16" w:rsidRPr="00FD3E16" w:rsidRDefault="00FD3E16" w:rsidP="00FD3E16"/>
    <w:bookmarkEnd w:id="2"/>
    <w:p w14:paraId="577D2741" w14:textId="46D839C0" w:rsidR="0005434F" w:rsidRDefault="00683F57" w:rsidP="0005434F">
      <w:pPr>
        <w:pStyle w:val="Heading1"/>
        <w:rPr>
          <w:lang w:val="en-US"/>
        </w:rPr>
      </w:pPr>
      <w:r w:rsidRPr="00FE1F13">
        <w:rPr>
          <w:lang w:val="en-US"/>
        </w:rPr>
        <w:t>Conclusions</w:t>
      </w:r>
    </w:p>
    <w:p w14:paraId="76A3D852" w14:textId="6D297693" w:rsidR="000922FF" w:rsidRDefault="00114462" w:rsidP="000922FF">
      <w:pPr>
        <w:pStyle w:val="BodyText"/>
        <w:rPr>
          <w:lang w:val="en-US"/>
        </w:rPr>
      </w:pPr>
      <w:r>
        <w:rPr>
          <w:lang w:val="en-US"/>
        </w:rPr>
        <w:t xml:space="preserve">In this contribution, a </w:t>
      </w:r>
      <w:r w:rsidR="000922FF">
        <w:rPr>
          <w:lang w:val="en-US"/>
        </w:rPr>
        <w:t>design of M-PUSCH based on 15 kHz subcarrier spacing for NB-</w:t>
      </w:r>
      <w:proofErr w:type="spellStart"/>
      <w:r w:rsidR="000922FF">
        <w:rPr>
          <w:lang w:val="en-US"/>
        </w:rPr>
        <w:t>IoT</w:t>
      </w:r>
      <w:proofErr w:type="spellEnd"/>
      <w:r w:rsidR="000922FF">
        <w:rPr>
          <w:lang w:val="en-US"/>
        </w:rPr>
        <w:t xml:space="preserve"> uplink is presented. Two M-PUSCH formats are proposed. Format 1 is exactly the same as LTE PUSCH and is used by NB-</w:t>
      </w:r>
      <w:proofErr w:type="spellStart"/>
      <w:r w:rsidR="000922FF">
        <w:rPr>
          <w:lang w:val="en-US"/>
        </w:rPr>
        <w:t>IoT</w:t>
      </w:r>
      <w:proofErr w:type="spellEnd"/>
      <w:r w:rsidR="000922FF">
        <w:rPr>
          <w:lang w:val="en-US"/>
        </w:rPr>
        <w:t xml:space="preserve"> UEs with coupling loss 154 dB or lower. Format 2 is designed to preserve UE orthogonality when the TA error far exceeds the CP interval. Format 2 is used by NB-</w:t>
      </w:r>
      <w:proofErr w:type="spellStart"/>
      <w:r w:rsidR="000922FF">
        <w:rPr>
          <w:lang w:val="en-US"/>
        </w:rPr>
        <w:t>IoT</w:t>
      </w:r>
      <w:proofErr w:type="spellEnd"/>
      <w:r w:rsidR="000922FF">
        <w:rPr>
          <w:lang w:val="en-US"/>
        </w:rPr>
        <w:t xml:space="preserve"> UEs with coupling loss higher than 154 </w:t>
      </w:r>
      <w:proofErr w:type="spellStart"/>
      <w:r w:rsidR="000922FF">
        <w:rPr>
          <w:lang w:val="en-US"/>
        </w:rPr>
        <w:t>dB.</w:t>
      </w:r>
      <w:proofErr w:type="spellEnd"/>
      <w:r w:rsidR="000922FF">
        <w:rPr>
          <w:lang w:val="en-US"/>
        </w:rPr>
        <w:t xml:space="preserve"> The performance of the proposed M-PUSCH design is analyzed in [4].</w:t>
      </w:r>
      <w:r w:rsidR="00443E3D">
        <w:rPr>
          <w:lang w:val="en-US"/>
        </w:rPr>
        <w:t xml:space="preserve"> </w:t>
      </w:r>
      <w:r w:rsidR="00443E3D">
        <w:t>T</w:t>
      </w:r>
      <w:r w:rsidR="00443E3D">
        <w:t>he basic transmission unit of M-PUSCH Formats 1 and 2 is one slot, which has the same duration as an LTE slot. Thus, M-PUSCH with 15 kHz subcarrier spacing using the proposed formats will fit any LTE</w:t>
      </w:r>
      <w:r w:rsidR="00443E3D">
        <w:t xml:space="preserve"> TDD configuration</w:t>
      </w:r>
      <w:r w:rsidR="00443E3D">
        <w:t>.</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1" w:name="_Ref397674406"/>
      <w:bookmarkStart w:id="12" w:name="_Ref403069021"/>
      <w:bookmarkStart w:id="13"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1"/>
      <w:bookmarkEnd w:id="12"/>
      <w:r>
        <w:rPr>
          <w:lang w:val="en-US"/>
        </w:rPr>
        <w:t>, Phoenix, AZ, USA</w:t>
      </w:r>
      <w:r w:rsidR="009144F7">
        <w:rPr>
          <w:lang w:val="en-US"/>
        </w:rPr>
        <w:t>.</w:t>
      </w:r>
    </w:p>
    <w:p w14:paraId="1132057D" w14:textId="77777777" w:rsidR="008361DB" w:rsidRPr="008361DB" w:rsidRDefault="008361DB" w:rsidP="008361DB">
      <w:pPr>
        <w:pStyle w:val="Reference"/>
        <w:rPr>
          <w:lang w:val="en-US"/>
        </w:rPr>
      </w:pPr>
      <w:r w:rsidRPr="008361DB">
        <w:rPr>
          <w:lang w:val="en-US"/>
        </w:rPr>
        <w:t>R1-156010, “NB-LTE – General L1 concept description”, Ericsson, Alcatel-Lucent, Alcatel-Lucent Shanghai Bell, Nokia, Intel, ZTE, Samsung</w:t>
      </w:r>
    </w:p>
    <w:p w14:paraId="63FE7507" w14:textId="4DDD0E6D" w:rsidR="00643090" w:rsidRDefault="008361DB" w:rsidP="00F725E2">
      <w:pPr>
        <w:pStyle w:val="Reference"/>
        <w:numPr>
          <w:ilvl w:val="0"/>
          <w:numId w:val="0"/>
        </w:numPr>
        <w:ind w:left="567" w:hanging="567"/>
        <w:rPr>
          <w:lang w:val="en-US"/>
        </w:rPr>
      </w:pPr>
      <w:r>
        <w:rPr>
          <w:lang w:val="en-US"/>
        </w:rPr>
        <w:t>[3</w:t>
      </w:r>
      <w:r w:rsidR="00CC6095">
        <w:rPr>
          <w:lang w:val="en-US"/>
        </w:rPr>
        <w:t>]</w:t>
      </w:r>
      <w:r w:rsidR="00CC6095">
        <w:rPr>
          <w:lang w:val="en-US"/>
        </w:rPr>
        <w:tab/>
        <w:t>R1-156011, “</w:t>
      </w:r>
      <w:r w:rsidR="00CC6095" w:rsidRPr="00CC6095">
        <w:rPr>
          <w:lang w:val="en-US"/>
        </w:rPr>
        <w:t>NB-LTE – Random access design</w:t>
      </w:r>
      <w:r w:rsidR="00CC6095">
        <w:rPr>
          <w:lang w:val="en-US"/>
        </w:rPr>
        <w:t>,” Ericsson, Oct. 2015, Malmo, Sweden</w:t>
      </w:r>
      <w:r w:rsidR="00053C34">
        <w:rPr>
          <w:lang w:val="en-US"/>
        </w:rPr>
        <w:t>.</w:t>
      </w:r>
      <w:bookmarkEnd w:id="13"/>
    </w:p>
    <w:p w14:paraId="6ED262C8" w14:textId="20254CE9" w:rsidR="002E7EAE" w:rsidRDefault="002E7EAE" w:rsidP="00F725E2">
      <w:pPr>
        <w:pStyle w:val="Reference"/>
        <w:numPr>
          <w:ilvl w:val="0"/>
          <w:numId w:val="0"/>
        </w:numPr>
        <w:ind w:left="567" w:hanging="567"/>
        <w:rPr>
          <w:lang w:val="en-US"/>
        </w:rPr>
      </w:pPr>
      <w:r w:rsidRPr="001351C2">
        <w:rPr>
          <w:lang w:val="en-US"/>
        </w:rPr>
        <w:t>[4]</w:t>
      </w:r>
      <w:r w:rsidRPr="001351C2">
        <w:rPr>
          <w:lang w:val="en-US"/>
        </w:rPr>
        <w:tab/>
      </w:r>
      <w:r w:rsidR="001351C2" w:rsidRPr="001351C2">
        <w:rPr>
          <w:lang w:val="en-US"/>
        </w:rPr>
        <w:t>R1-157421</w:t>
      </w:r>
      <w:r w:rsidR="001351C2">
        <w:rPr>
          <w:lang w:val="en-US"/>
        </w:rPr>
        <w:t>, “</w:t>
      </w:r>
      <w:r w:rsidR="001351C2" w:rsidRPr="001351C2">
        <w:rPr>
          <w:lang w:val="en-US"/>
        </w:rPr>
        <w:t>NB-</w:t>
      </w:r>
      <w:proofErr w:type="spellStart"/>
      <w:r w:rsidR="001351C2" w:rsidRPr="001351C2">
        <w:rPr>
          <w:lang w:val="en-US"/>
        </w:rPr>
        <w:t>IoT</w:t>
      </w:r>
      <w:proofErr w:type="spellEnd"/>
      <w:r w:rsidR="001351C2" w:rsidRPr="001351C2">
        <w:rPr>
          <w:lang w:val="en-US"/>
        </w:rPr>
        <w:t xml:space="preserve"> - Performance of 15 kHz subcarrier spacing for NB-</w:t>
      </w:r>
      <w:proofErr w:type="spellStart"/>
      <w:r w:rsidR="001351C2" w:rsidRPr="001351C2">
        <w:rPr>
          <w:lang w:val="en-US"/>
        </w:rPr>
        <w:t>IoT</w:t>
      </w:r>
      <w:proofErr w:type="spellEnd"/>
      <w:r w:rsidR="001351C2" w:rsidRPr="001351C2">
        <w:rPr>
          <w:lang w:val="en-US"/>
        </w:rPr>
        <w:t xml:space="preserve"> uplink shared channel</w:t>
      </w:r>
      <w:r w:rsidR="001351C2">
        <w:rPr>
          <w:lang w:val="en-US"/>
        </w:rPr>
        <w:t>,” Ericsson, Nov. 2015, Anaheim</w:t>
      </w:r>
      <w:r w:rsidR="001351C2">
        <w:rPr>
          <w:lang w:val="en-US"/>
        </w:rPr>
        <w:t xml:space="preserve"> </w:t>
      </w:r>
      <w:r w:rsidR="001351C2">
        <w:rPr>
          <w:lang w:val="en-US"/>
        </w:rPr>
        <w:t>CA, USA</w:t>
      </w:r>
      <w:r w:rsidR="001351C2">
        <w:rPr>
          <w:lang w:val="en-US"/>
        </w:rPr>
        <w:t>.</w:t>
      </w:r>
    </w:p>
    <w:p w14:paraId="347F37E0" w14:textId="0083DA8E" w:rsidR="00F725E2" w:rsidRPr="00FE1F13" w:rsidRDefault="002E7EAE" w:rsidP="00F725E2">
      <w:pPr>
        <w:pStyle w:val="Reference"/>
        <w:numPr>
          <w:ilvl w:val="0"/>
          <w:numId w:val="0"/>
        </w:numPr>
        <w:ind w:left="567" w:hanging="567"/>
        <w:rPr>
          <w:lang w:val="en-US"/>
        </w:rPr>
      </w:pPr>
      <w:r>
        <w:rPr>
          <w:lang w:val="en-US"/>
        </w:rPr>
        <w:t>[5</w:t>
      </w:r>
      <w:r w:rsidR="00F725E2">
        <w:rPr>
          <w:lang w:val="en-US"/>
        </w:rPr>
        <w:t>]</w:t>
      </w:r>
      <w:r w:rsidR="00F725E2">
        <w:rPr>
          <w:lang w:val="en-US"/>
        </w:rPr>
        <w:tab/>
      </w:r>
      <w:r w:rsidR="00F725E2" w:rsidRPr="00F725E2">
        <w:rPr>
          <w:lang w:val="en-US"/>
        </w:rPr>
        <w:t>3GPP TR 45.820, “Technical Specification Group GSM/EDGE Radio Access Network; Cellular System Support for Ultra Low Complexity and Low Throughput Internet of Things,” Aug. 2015, v.2.1.0.</w:t>
      </w:r>
    </w:p>
    <w:sectPr w:rsidR="00F725E2" w:rsidRPr="00FE1F13"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3A837" w14:textId="77777777" w:rsidR="003C244A" w:rsidRDefault="003C244A">
      <w:pPr>
        <w:spacing w:after="0"/>
      </w:pPr>
      <w:r>
        <w:separator/>
      </w:r>
    </w:p>
  </w:endnote>
  <w:endnote w:type="continuationSeparator" w:id="0">
    <w:p w14:paraId="34B4C6F5" w14:textId="77777777" w:rsidR="003C244A" w:rsidRDefault="003C2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443E3D">
      <w:rPr>
        <w:rStyle w:val="PageNumber"/>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E3D">
      <w:rPr>
        <w:rStyle w:val="PageNumber"/>
      </w:rPr>
      <w:t>5</w:t>
    </w:r>
    <w:r>
      <w:rPr>
        <w:rStyle w:val="PageNumber"/>
      </w:rPr>
      <w:fldChar w:fldCharType="end"/>
    </w:r>
    <w:r>
      <w:rPr>
        <w:rStyle w:val="PageNumber"/>
      </w:rPr>
      <w:t>)</w:t>
    </w:r>
    <w:bookmarkEnd w:id="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443E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E3D">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6CBBA" w14:textId="77777777" w:rsidR="003C244A" w:rsidRDefault="003C244A">
      <w:pPr>
        <w:spacing w:after="0"/>
      </w:pPr>
      <w:r>
        <w:separator/>
      </w:r>
    </w:p>
  </w:footnote>
  <w:footnote w:type="continuationSeparator" w:id="0">
    <w:p w14:paraId="603AB4DF" w14:textId="77777777" w:rsidR="003C244A" w:rsidRDefault="003C24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9"/>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7"/>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6"/>
  </w:num>
  <w:num w:numId="31">
    <w:abstractNumId w:val="23"/>
  </w:num>
  <w:num w:numId="32">
    <w:abstractNumId w:val="32"/>
  </w:num>
  <w:num w:numId="33">
    <w:abstractNumId w:val="10"/>
  </w:num>
  <w:num w:numId="34">
    <w:abstractNumId w:val="21"/>
  </w:num>
  <w:num w:numId="35">
    <w:abstractNumId w:val="3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28"/>
  </w:num>
  <w:num w:numId="41">
    <w:abstractNumId w:val="30"/>
  </w:num>
  <w:num w:numId="42">
    <w:abstractNumId w:val="23"/>
    <w:lvlOverride w:ilvl="0">
      <w:startOverride w:val="12"/>
    </w:lvlOverride>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7F2"/>
    <w:rsid w:val="00087350"/>
    <w:rsid w:val="0008796B"/>
    <w:rsid w:val="00091A7F"/>
    <w:rsid w:val="000922FF"/>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5368"/>
    <w:rsid w:val="001254C4"/>
    <w:rsid w:val="00130ED8"/>
    <w:rsid w:val="001311CC"/>
    <w:rsid w:val="001351C2"/>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310F"/>
    <w:rsid w:val="00194A90"/>
    <w:rsid w:val="001A0E97"/>
    <w:rsid w:val="001A3ADC"/>
    <w:rsid w:val="001A652E"/>
    <w:rsid w:val="001B0EA1"/>
    <w:rsid w:val="001B3005"/>
    <w:rsid w:val="001B3616"/>
    <w:rsid w:val="001B5230"/>
    <w:rsid w:val="001B578B"/>
    <w:rsid w:val="001B58B6"/>
    <w:rsid w:val="001C1A66"/>
    <w:rsid w:val="001C51B5"/>
    <w:rsid w:val="001C59CE"/>
    <w:rsid w:val="001C6000"/>
    <w:rsid w:val="001C6B6B"/>
    <w:rsid w:val="001C72C8"/>
    <w:rsid w:val="001D06AC"/>
    <w:rsid w:val="001D07A5"/>
    <w:rsid w:val="001D48B8"/>
    <w:rsid w:val="001D589A"/>
    <w:rsid w:val="001E1C9C"/>
    <w:rsid w:val="001E213E"/>
    <w:rsid w:val="001E272E"/>
    <w:rsid w:val="001E582A"/>
    <w:rsid w:val="001E7AF7"/>
    <w:rsid w:val="001F0CE9"/>
    <w:rsid w:val="001F3714"/>
    <w:rsid w:val="001F39B2"/>
    <w:rsid w:val="001F4B7F"/>
    <w:rsid w:val="001F60F1"/>
    <w:rsid w:val="001F6E69"/>
    <w:rsid w:val="00206BFE"/>
    <w:rsid w:val="0021523D"/>
    <w:rsid w:val="00220E5C"/>
    <w:rsid w:val="00224F96"/>
    <w:rsid w:val="00225036"/>
    <w:rsid w:val="00227291"/>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921"/>
    <w:rsid w:val="00265439"/>
    <w:rsid w:val="00267AC3"/>
    <w:rsid w:val="0027285A"/>
    <w:rsid w:val="00274858"/>
    <w:rsid w:val="002824CF"/>
    <w:rsid w:val="00282C6D"/>
    <w:rsid w:val="0028474C"/>
    <w:rsid w:val="00285772"/>
    <w:rsid w:val="00287364"/>
    <w:rsid w:val="00287D33"/>
    <w:rsid w:val="00291AA4"/>
    <w:rsid w:val="00291F1D"/>
    <w:rsid w:val="00292A88"/>
    <w:rsid w:val="00293892"/>
    <w:rsid w:val="002951FC"/>
    <w:rsid w:val="002A2386"/>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E68CD"/>
    <w:rsid w:val="002E7EAE"/>
    <w:rsid w:val="002F03CE"/>
    <w:rsid w:val="002F2762"/>
    <w:rsid w:val="002F3FAE"/>
    <w:rsid w:val="002F6BC2"/>
    <w:rsid w:val="002F7983"/>
    <w:rsid w:val="0030085B"/>
    <w:rsid w:val="003013DF"/>
    <w:rsid w:val="0030444C"/>
    <w:rsid w:val="00304865"/>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201D"/>
    <w:rsid w:val="003526DC"/>
    <w:rsid w:val="0035309F"/>
    <w:rsid w:val="00353B36"/>
    <w:rsid w:val="00353DCF"/>
    <w:rsid w:val="00354E71"/>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43DD"/>
    <w:rsid w:val="003A6896"/>
    <w:rsid w:val="003B2F31"/>
    <w:rsid w:val="003B5666"/>
    <w:rsid w:val="003C244A"/>
    <w:rsid w:val="003C28EC"/>
    <w:rsid w:val="003C72EE"/>
    <w:rsid w:val="003D10F0"/>
    <w:rsid w:val="003D15A1"/>
    <w:rsid w:val="003D273D"/>
    <w:rsid w:val="003D3EEA"/>
    <w:rsid w:val="003E2B02"/>
    <w:rsid w:val="003E3C3F"/>
    <w:rsid w:val="003E54AE"/>
    <w:rsid w:val="003E6309"/>
    <w:rsid w:val="003E70DE"/>
    <w:rsid w:val="003E7A09"/>
    <w:rsid w:val="003F039E"/>
    <w:rsid w:val="003F1E4A"/>
    <w:rsid w:val="003F20EB"/>
    <w:rsid w:val="003F2D08"/>
    <w:rsid w:val="003F2DD5"/>
    <w:rsid w:val="003F411D"/>
    <w:rsid w:val="003F430C"/>
    <w:rsid w:val="003F614C"/>
    <w:rsid w:val="003F6C3A"/>
    <w:rsid w:val="0040291E"/>
    <w:rsid w:val="00404BAC"/>
    <w:rsid w:val="00405F52"/>
    <w:rsid w:val="004077BE"/>
    <w:rsid w:val="00407FA0"/>
    <w:rsid w:val="00411778"/>
    <w:rsid w:val="00414004"/>
    <w:rsid w:val="00414D8B"/>
    <w:rsid w:val="00414F7A"/>
    <w:rsid w:val="00420701"/>
    <w:rsid w:val="00420745"/>
    <w:rsid w:val="00425B94"/>
    <w:rsid w:val="00427DC8"/>
    <w:rsid w:val="0043557A"/>
    <w:rsid w:val="004373A6"/>
    <w:rsid w:val="004375FE"/>
    <w:rsid w:val="00437704"/>
    <w:rsid w:val="00440089"/>
    <w:rsid w:val="00443BBF"/>
    <w:rsid w:val="00443E3D"/>
    <w:rsid w:val="00447F5B"/>
    <w:rsid w:val="0045024E"/>
    <w:rsid w:val="00451830"/>
    <w:rsid w:val="00456CBD"/>
    <w:rsid w:val="004576AA"/>
    <w:rsid w:val="00457C55"/>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B596B"/>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5248"/>
    <w:rsid w:val="006D76CD"/>
    <w:rsid w:val="006D7ADB"/>
    <w:rsid w:val="006E1967"/>
    <w:rsid w:val="006E1D13"/>
    <w:rsid w:val="006E321C"/>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EF5"/>
    <w:rsid w:val="00726BE5"/>
    <w:rsid w:val="00727FE3"/>
    <w:rsid w:val="00732A8C"/>
    <w:rsid w:val="00736CC6"/>
    <w:rsid w:val="00736D17"/>
    <w:rsid w:val="00741A88"/>
    <w:rsid w:val="00742E04"/>
    <w:rsid w:val="00743188"/>
    <w:rsid w:val="0074453A"/>
    <w:rsid w:val="00744E0C"/>
    <w:rsid w:val="00744F6F"/>
    <w:rsid w:val="007452AE"/>
    <w:rsid w:val="007461D5"/>
    <w:rsid w:val="00747349"/>
    <w:rsid w:val="007504D1"/>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6E71"/>
    <w:rsid w:val="0079133B"/>
    <w:rsid w:val="00791885"/>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D3"/>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2056"/>
    <w:rsid w:val="008626DF"/>
    <w:rsid w:val="008647B5"/>
    <w:rsid w:val="00864CBC"/>
    <w:rsid w:val="0086723F"/>
    <w:rsid w:val="0087211E"/>
    <w:rsid w:val="00872967"/>
    <w:rsid w:val="00875886"/>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BF1"/>
    <w:rsid w:val="00937F0E"/>
    <w:rsid w:val="00942191"/>
    <w:rsid w:val="00942712"/>
    <w:rsid w:val="00951444"/>
    <w:rsid w:val="0096238F"/>
    <w:rsid w:val="00964B1D"/>
    <w:rsid w:val="00972509"/>
    <w:rsid w:val="009734A6"/>
    <w:rsid w:val="009735DD"/>
    <w:rsid w:val="00976970"/>
    <w:rsid w:val="00976D4F"/>
    <w:rsid w:val="0098034C"/>
    <w:rsid w:val="0098630E"/>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4DC5"/>
    <w:rsid w:val="00A65CB3"/>
    <w:rsid w:val="00A66020"/>
    <w:rsid w:val="00A675B4"/>
    <w:rsid w:val="00A67E15"/>
    <w:rsid w:val="00A70C5E"/>
    <w:rsid w:val="00A7225A"/>
    <w:rsid w:val="00A8138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2E1E"/>
    <w:rsid w:val="00B82F92"/>
    <w:rsid w:val="00B86834"/>
    <w:rsid w:val="00B86897"/>
    <w:rsid w:val="00B87B5C"/>
    <w:rsid w:val="00B91541"/>
    <w:rsid w:val="00B943B4"/>
    <w:rsid w:val="00B978C6"/>
    <w:rsid w:val="00BA11F0"/>
    <w:rsid w:val="00BA13A3"/>
    <w:rsid w:val="00BA1C0F"/>
    <w:rsid w:val="00BA5B76"/>
    <w:rsid w:val="00BA64E5"/>
    <w:rsid w:val="00BA6C68"/>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157"/>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E43"/>
    <w:rsid w:val="00D1136B"/>
    <w:rsid w:val="00D13E68"/>
    <w:rsid w:val="00D207FE"/>
    <w:rsid w:val="00D20ECB"/>
    <w:rsid w:val="00D21A0F"/>
    <w:rsid w:val="00D22A9C"/>
    <w:rsid w:val="00D23CE2"/>
    <w:rsid w:val="00D2510C"/>
    <w:rsid w:val="00D306B4"/>
    <w:rsid w:val="00D315D9"/>
    <w:rsid w:val="00D31CCC"/>
    <w:rsid w:val="00D32353"/>
    <w:rsid w:val="00D37234"/>
    <w:rsid w:val="00D37A98"/>
    <w:rsid w:val="00D404AF"/>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7019E"/>
    <w:rsid w:val="00D71D98"/>
    <w:rsid w:val="00D7594C"/>
    <w:rsid w:val="00D80458"/>
    <w:rsid w:val="00D81065"/>
    <w:rsid w:val="00D82507"/>
    <w:rsid w:val="00D9057B"/>
    <w:rsid w:val="00D90EF4"/>
    <w:rsid w:val="00D91B4C"/>
    <w:rsid w:val="00D92256"/>
    <w:rsid w:val="00D9457D"/>
    <w:rsid w:val="00D954BD"/>
    <w:rsid w:val="00D95AE0"/>
    <w:rsid w:val="00D96D5A"/>
    <w:rsid w:val="00D96F37"/>
    <w:rsid w:val="00D97974"/>
    <w:rsid w:val="00DA1A02"/>
    <w:rsid w:val="00DA213C"/>
    <w:rsid w:val="00DA2742"/>
    <w:rsid w:val="00DA3754"/>
    <w:rsid w:val="00DA3CD3"/>
    <w:rsid w:val="00DA450C"/>
    <w:rsid w:val="00DA4E12"/>
    <w:rsid w:val="00DA5C86"/>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1972"/>
    <w:rsid w:val="00E042B7"/>
    <w:rsid w:val="00E05F99"/>
    <w:rsid w:val="00E06073"/>
    <w:rsid w:val="00E07950"/>
    <w:rsid w:val="00E132EC"/>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7E2A"/>
    <w:rsid w:val="00F34A67"/>
    <w:rsid w:val="00F35FEC"/>
    <w:rsid w:val="00F36294"/>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82162"/>
    <w:rsid w:val="00F8475E"/>
    <w:rsid w:val="00F865AF"/>
    <w:rsid w:val="00F86BCD"/>
    <w:rsid w:val="00F91751"/>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EFD96-B550-4966-B1CC-1431C4F63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52</cp:revision>
  <cp:lastPrinted>2015-07-20T19:34:00Z</cp:lastPrinted>
  <dcterms:created xsi:type="dcterms:W3CDTF">2015-10-29T20:07:00Z</dcterms:created>
  <dcterms:modified xsi:type="dcterms:W3CDTF">2015-11-06T19:27:00Z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